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3D" w:rsidRDefault="00A50649">
      <w:pPr>
        <w:spacing w:line="240" w:lineRule="exact"/>
        <w:ind w:right="-31"/>
        <w:jc w:val="center"/>
        <w:outlineLvl w:val="0"/>
        <w:rPr>
          <w:bCs/>
          <w:color w:val="000000"/>
          <w:sz w:val="28"/>
          <w:szCs w:val="28"/>
          <w:highlight w:val="white"/>
        </w:rPr>
      </w:pPr>
      <w:bookmarkStart w:id="0" w:name="_GoBack"/>
      <w:bookmarkEnd w:id="0"/>
      <w:r>
        <w:rPr>
          <w:bCs/>
          <w:color w:val="000000"/>
          <w:sz w:val="28"/>
          <w:szCs w:val="28"/>
          <w:highlight w:val="white"/>
        </w:rPr>
        <w:t xml:space="preserve">СРАВНИТЕЛЬНАЯ ТАБЛИЦА </w:t>
      </w:r>
    </w:p>
    <w:p w:rsidR="0038623D" w:rsidRDefault="0038623D">
      <w:pPr>
        <w:spacing w:line="240" w:lineRule="exact"/>
        <w:jc w:val="center"/>
        <w:rPr>
          <w:bCs/>
          <w:color w:val="000000"/>
          <w:sz w:val="28"/>
          <w:szCs w:val="28"/>
          <w:highlight w:val="white"/>
        </w:rPr>
      </w:pPr>
    </w:p>
    <w:p w:rsidR="0038623D" w:rsidRDefault="00A50649">
      <w:pPr>
        <w:spacing w:line="240" w:lineRule="exact"/>
        <w:jc w:val="center"/>
        <w:rPr>
          <w:bCs/>
          <w:color w:val="000000"/>
          <w:sz w:val="28"/>
          <w:szCs w:val="28"/>
          <w:highlight w:val="white"/>
        </w:rPr>
      </w:pPr>
      <w:r>
        <w:rPr>
          <w:color w:val="000000"/>
          <w:sz w:val="28"/>
          <w:szCs w:val="28"/>
          <w:highlight w:val="white"/>
        </w:rPr>
        <w:t>к проекту закона Ставропольского края "</w:t>
      </w:r>
      <w:r>
        <w:rPr>
          <w:bCs/>
          <w:color w:val="000000"/>
          <w:sz w:val="28"/>
          <w:szCs w:val="28"/>
          <w:highlight w:val="white"/>
        </w:rPr>
        <w:t>О внесении изменений в Закон Ставропольского края</w:t>
      </w:r>
    </w:p>
    <w:p w:rsidR="0038623D" w:rsidRDefault="00A50649">
      <w:pPr>
        <w:spacing w:line="240" w:lineRule="exact"/>
        <w:jc w:val="center"/>
        <w:rPr>
          <w:color w:val="000000"/>
          <w:sz w:val="28"/>
          <w:szCs w:val="28"/>
          <w:highlight w:val="white"/>
        </w:rPr>
      </w:pPr>
      <w:r>
        <w:rPr>
          <w:color w:val="000000"/>
          <w:sz w:val="28"/>
          <w:szCs w:val="28"/>
          <w:highlight w:val="white"/>
        </w:rPr>
        <w:t>"О бюджете Ставропольского края на 2025 год и плановый период 2026 и 2027 годов"</w:t>
      </w:r>
    </w:p>
    <w:p w:rsidR="0038623D" w:rsidRDefault="0038623D">
      <w:pPr>
        <w:spacing w:line="240" w:lineRule="exact"/>
        <w:jc w:val="center"/>
        <w:rPr>
          <w:color w:val="000000"/>
          <w:sz w:val="28"/>
          <w:szCs w:val="28"/>
          <w:highlight w:val="white"/>
        </w:rPr>
      </w:pPr>
    </w:p>
    <w:p w:rsidR="0038623D" w:rsidRDefault="0038623D">
      <w:pPr>
        <w:spacing w:line="240" w:lineRule="exact"/>
        <w:jc w:val="center"/>
        <w:rPr>
          <w:color w:val="000000"/>
          <w:sz w:val="28"/>
          <w:szCs w:val="28"/>
          <w:highlight w:val="white"/>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76"/>
        <w:gridCol w:w="7209"/>
        <w:gridCol w:w="6641"/>
      </w:tblGrid>
      <w:tr w:rsidR="0038623D">
        <w:tc>
          <w:tcPr>
            <w:tcW w:w="675" w:type="dxa"/>
            <w:vAlign w:val="center"/>
          </w:tcPr>
          <w:p w:rsidR="0038623D" w:rsidRDefault="00A50649">
            <w:pPr>
              <w:ind w:left="-142" w:right="-86"/>
              <w:jc w:val="center"/>
              <w:rPr>
                <w:sz w:val="28"/>
                <w:szCs w:val="28"/>
                <w:highlight w:val="white"/>
              </w:rPr>
            </w:pPr>
            <w:r>
              <w:rPr>
                <w:sz w:val="28"/>
                <w:szCs w:val="28"/>
                <w:highlight w:val="white"/>
              </w:rPr>
              <w:t>№</w:t>
            </w:r>
          </w:p>
          <w:p w:rsidR="0038623D" w:rsidRDefault="00A50649">
            <w:pPr>
              <w:ind w:left="-142" w:right="-86"/>
              <w:jc w:val="center"/>
              <w:rPr>
                <w:sz w:val="28"/>
                <w:szCs w:val="28"/>
                <w:highlight w:val="white"/>
              </w:rPr>
            </w:pPr>
            <w:r>
              <w:rPr>
                <w:sz w:val="28"/>
                <w:szCs w:val="28"/>
                <w:highlight w:val="white"/>
              </w:rPr>
              <w:t>п/п</w:t>
            </w:r>
          </w:p>
        </w:tc>
        <w:tc>
          <w:tcPr>
            <w:tcW w:w="1176" w:type="dxa"/>
            <w:vAlign w:val="center"/>
          </w:tcPr>
          <w:p w:rsidR="0038623D" w:rsidRDefault="00A50649">
            <w:pPr>
              <w:ind w:left="-130" w:right="-44"/>
              <w:jc w:val="center"/>
              <w:rPr>
                <w:sz w:val="28"/>
                <w:szCs w:val="28"/>
                <w:highlight w:val="white"/>
              </w:rPr>
            </w:pPr>
            <w:r>
              <w:rPr>
                <w:sz w:val="28"/>
                <w:szCs w:val="28"/>
                <w:highlight w:val="white"/>
              </w:rPr>
              <w:t>Статья, часть,</w:t>
            </w:r>
          </w:p>
          <w:p w:rsidR="0038623D" w:rsidRDefault="00A50649">
            <w:pPr>
              <w:ind w:left="-130" w:right="-44"/>
              <w:jc w:val="center"/>
              <w:rPr>
                <w:sz w:val="28"/>
                <w:szCs w:val="28"/>
                <w:highlight w:val="white"/>
              </w:rPr>
            </w:pPr>
            <w:r>
              <w:rPr>
                <w:sz w:val="28"/>
                <w:szCs w:val="28"/>
                <w:highlight w:val="white"/>
              </w:rPr>
              <w:t>абзац</w:t>
            </w:r>
          </w:p>
        </w:tc>
        <w:tc>
          <w:tcPr>
            <w:tcW w:w="7209" w:type="dxa"/>
            <w:vAlign w:val="center"/>
          </w:tcPr>
          <w:p w:rsidR="0038623D" w:rsidRDefault="00A50649">
            <w:pPr>
              <w:jc w:val="center"/>
              <w:rPr>
                <w:sz w:val="28"/>
                <w:szCs w:val="28"/>
                <w:highlight w:val="white"/>
              </w:rPr>
            </w:pPr>
            <w:r>
              <w:rPr>
                <w:sz w:val="28"/>
                <w:szCs w:val="28"/>
                <w:highlight w:val="white"/>
              </w:rPr>
              <w:t>Действующая редакция положений Закона</w:t>
            </w:r>
          </w:p>
          <w:p w:rsidR="0038623D" w:rsidRDefault="00A50649">
            <w:pPr>
              <w:jc w:val="center"/>
              <w:rPr>
                <w:sz w:val="28"/>
                <w:szCs w:val="28"/>
                <w:highlight w:val="white"/>
              </w:rPr>
            </w:pPr>
            <w:r>
              <w:rPr>
                <w:sz w:val="28"/>
                <w:szCs w:val="28"/>
                <w:highlight w:val="white"/>
              </w:rPr>
              <w:t>Ставропольского края "О бюджете Ставропольского края на 2025 год и плановый период 2026 и 2027 годов"</w:t>
            </w:r>
          </w:p>
        </w:tc>
        <w:tc>
          <w:tcPr>
            <w:tcW w:w="6641" w:type="dxa"/>
            <w:vAlign w:val="center"/>
          </w:tcPr>
          <w:p w:rsidR="0038623D" w:rsidRDefault="00A50649">
            <w:pPr>
              <w:jc w:val="center"/>
              <w:rPr>
                <w:sz w:val="28"/>
                <w:szCs w:val="28"/>
                <w:highlight w:val="white"/>
              </w:rPr>
            </w:pPr>
            <w:r>
              <w:rPr>
                <w:sz w:val="28"/>
                <w:szCs w:val="28"/>
                <w:highlight w:val="white"/>
              </w:rPr>
              <w:t xml:space="preserve">Положения Закона Ставропольского края </w:t>
            </w:r>
          </w:p>
          <w:p w:rsidR="0038623D" w:rsidRDefault="00A50649">
            <w:pPr>
              <w:jc w:val="center"/>
              <w:rPr>
                <w:sz w:val="28"/>
                <w:szCs w:val="28"/>
                <w:highlight w:val="white"/>
              </w:rPr>
            </w:pPr>
            <w:r>
              <w:rPr>
                <w:sz w:val="28"/>
                <w:szCs w:val="28"/>
                <w:highlight w:val="white"/>
              </w:rPr>
              <w:t xml:space="preserve">"О бюджете Ставропольского края на 2025 год </w:t>
            </w:r>
          </w:p>
          <w:p w:rsidR="0038623D" w:rsidRDefault="00A50649">
            <w:pPr>
              <w:jc w:val="center"/>
              <w:rPr>
                <w:sz w:val="28"/>
                <w:szCs w:val="28"/>
                <w:highlight w:val="white"/>
              </w:rPr>
            </w:pPr>
            <w:r>
              <w:rPr>
                <w:sz w:val="28"/>
                <w:szCs w:val="28"/>
                <w:highlight w:val="white"/>
              </w:rPr>
              <w:t>и плановый период 2026 и 2027 го</w:t>
            </w:r>
            <w:r>
              <w:rPr>
                <w:sz w:val="28"/>
                <w:szCs w:val="28"/>
                <w:highlight w:val="white"/>
              </w:rPr>
              <w:t xml:space="preserve">дов" </w:t>
            </w:r>
            <w:r>
              <w:rPr>
                <w:sz w:val="28"/>
                <w:szCs w:val="28"/>
                <w:highlight w:val="white"/>
              </w:rPr>
              <w:br w:type="textWrapping" w:clear="all"/>
            </w:r>
            <w:r>
              <w:rPr>
                <w:sz w:val="28"/>
                <w:szCs w:val="28"/>
                <w:highlight w:val="white"/>
              </w:rPr>
              <w:t>с учетом изменений</w:t>
            </w:r>
          </w:p>
        </w:tc>
      </w:tr>
      <w:tr w:rsidR="0038623D">
        <w:tc>
          <w:tcPr>
            <w:tcW w:w="675" w:type="dxa"/>
          </w:tcPr>
          <w:p w:rsidR="0038623D" w:rsidRDefault="00A50649">
            <w:pPr>
              <w:ind w:left="-142" w:right="-86"/>
              <w:jc w:val="center"/>
              <w:rPr>
                <w:sz w:val="28"/>
                <w:szCs w:val="28"/>
                <w:highlight w:val="white"/>
              </w:rPr>
            </w:pPr>
            <w:r>
              <w:rPr>
                <w:sz w:val="28"/>
                <w:szCs w:val="28"/>
                <w:highlight w:val="white"/>
              </w:rPr>
              <w:t>1</w:t>
            </w:r>
          </w:p>
        </w:tc>
        <w:tc>
          <w:tcPr>
            <w:tcW w:w="1176" w:type="dxa"/>
          </w:tcPr>
          <w:p w:rsidR="0038623D" w:rsidRDefault="00A50649">
            <w:pPr>
              <w:ind w:left="-130" w:right="-44"/>
              <w:jc w:val="center"/>
              <w:rPr>
                <w:sz w:val="28"/>
                <w:szCs w:val="28"/>
                <w:highlight w:val="white"/>
              </w:rPr>
            </w:pPr>
            <w:r>
              <w:rPr>
                <w:sz w:val="28"/>
                <w:szCs w:val="28"/>
                <w:highlight w:val="white"/>
              </w:rPr>
              <w:t>2</w:t>
            </w:r>
          </w:p>
        </w:tc>
        <w:tc>
          <w:tcPr>
            <w:tcW w:w="7209" w:type="dxa"/>
          </w:tcPr>
          <w:p w:rsidR="0038623D" w:rsidRDefault="00A50649">
            <w:pPr>
              <w:pStyle w:val="ConsPlusNormal"/>
              <w:ind w:firstLine="540"/>
              <w:jc w:val="center"/>
              <w:rPr>
                <w:highlight w:val="white"/>
              </w:rPr>
            </w:pPr>
            <w:r>
              <w:rPr>
                <w:highlight w:val="white"/>
              </w:rPr>
              <w:t>3</w:t>
            </w:r>
          </w:p>
        </w:tc>
        <w:tc>
          <w:tcPr>
            <w:tcW w:w="6641" w:type="dxa"/>
          </w:tcPr>
          <w:p w:rsidR="0038623D" w:rsidRDefault="00A50649">
            <w:pPr>
              <w:pStyle w:val="ConsPlusNormal"/>
              <w:ind w:firstLine="540"/>
              <w:jc w:val="center"/>
              <w:rPr>
                <w:highlight w:val="white"/>
              </w:rPr>
            </w:pPr>
            <w:r>
              <w:rPr>
                <w:highlight w:val="white"/>
              </w:rPr>
              <w:t>4</w:t>
            </w:r>
          </w:p>
        </w:tc>
      </w:tr>
      <w:tr w:rsidR="0038623D">
        <w:tc>
          <w:tcPr>
            <w:tcW w:w="675" w:type="dxa"/>
          </w:tcPr>
          <w:p w:rsidR="0038623D" w:rsidRDefault="00A50649">
            <w:pPr>
              <w:ind w:left="-142" w:right="-86"/>
              <w:jc w:val="center"/>
              <w:rPr>
                <w:highlight w:val="white"/>
              </w:rPr>
            </w:pPr>
            <w:r>
              <w:rPr>
                <w:highlight w:val="white"/>
              </w:rPr>
              <w:t>1.</w:t>
            </w:r>
          </w:p>
        </w:tc>
        <w:tc>
          <w:tcPr>
            <w:tcW w:w="1176" w:type="dxa"/>
          </w:tcPr>
          <w:p w:rsidR="0038623D" w:rsidRDefault="00A50649">
            <w:pPr>
              <w:ind w:left="-142" w:right="-86"/>
              <w:jc w:val="center"/>
              <w:rPr>
                <w:highlight w:val="white"/>
              </w:rPr>
            </w:pPr>
            <w:r>
              <w:rPr>
                <w:highlight w:val="white"/>
              </w:rPr>
              <w:t>Статья 1 часть 1</w:t>
            </w:r>
          </w:p>
          <w:p w:rsidR="0038623D" w:rsidRDefault="00A50649">
            <w:pPr>
              <w:ind w:left="-142" w:right="-86"/>
              <w:jc w:val="center"/>
              <w:rPr>
                <w:highlight w:val="white"/>
              </w:rPr>
            </w:pPr>
            <w:r>
              <w:rPr>
                <w:highlight w:val="white"/>
              </w:rPr>
              <w:t>пункт 1</w:t>
            </w:r>
          </w:p>
        </w:tc>
        <w:tc>
          <w:tcPr>
            <w:tcW w:w="7209" w:type="dxa"/>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1) общий объем доходов краевого бюджета на 2025 год </w:t>
            </w:r>
            <w:r>
              <w:rPr>
                <w:color w:val="000000"/>
              </w:rPr>
              <w:br/>
              <w:t xml:space="preserve">в сумме 190 116 006,10 тыс. рублей, на 2026 год в сумме 187 538 657,40 тыс. рублей и на 2027 год в сумме </w:t>
            </w:r>
            <w:r>
              <w:rPr>
                <w:color w:val="000000"/>
              </w:rPr>
              <w:br/>
              <w:t>189 798 848,36 тыс. рублей;</w:t>
            </w:r>
          </w:p>
          <w:p w:rsidR="0038623D" w:rsidRDefault="0038623D">
            <w:pPr>
              <w:ind w:firstLine="540"/>
              <w:jc w:val="both"/>
              <w:rPr>
                <w:highlight w:val="white"/>
              </w:rPr>
            </w:pPr>
          </w:p>
        </w:tc>
        <w:tc>
          <w:tcPr>
            <w:tcW w:w="6641" w:type="dxa"/>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r>
              <w:rPr>
                <w:color w:val="000000"/>
              </w:rPr>
              <w:t xml:space="preserve">1) общий объем доходов краевого бюджета на 2025 год в сумме </w:t>
            </w:r>
            <w:r>
              <w:rPr>
                <w:rFonts w:eastAsiaTheme="minorHAnsi"/>
                <w:lang w:eastAsia="en-US"/>
              </w:rPr>
              <w:t>197 650 728,83</w:t>
            </w:r>
            <w:r>
              <w:rPr>
                <w:color w:val="000000"/>
              </w:rPr>
              <w:t xml:space="preserve"> тыс. рублей, на 2026 год в сумме 187 538 657,40 тыс. рублей и на 2027 год в сумме 189 798 848,36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p>
        </w:tc>
      </w:tr>
      <w:tr w:rsidR="0038623D">
        <w:tc>
          <w:tcPr>
            <w:tcW w:w="675" w:type="dxa"/>
          </w:tcPr>
          <w:p w:rsidR="0038623D" w:rsidRDefault="00A50649">
            <w:pPr>
              <w:ind w:left="-142" w:right="-86"/>
              <w:jc w:val="center"/>
              <w:rPr>
                <w:highlight w:val="white"/>
              </w:rPr>
            </w:pPr>
            <w:r>
              <w:rPr>
                <w:highlight w:val="white"/>
              </w:rPr>
              <w:t>2.</w:t>
            </w:r>
          </w:p>
        </w:tc>
        <w:tc>
          <w:tcPr>
            <w:tcW w:w="1176" w:type="dxa"/>
          </w:tcPr>
          <w:p w:rsidR="0038623D" w:rsidRDefault="00A50649">
            <w:pPr>
              <w:ind w:left="-142" w:right="-86"/>
              <w:jc w:val="center"/>
              <w:rPr>
                <w:highlight w:val="white"/>
              </w:rPr>
            </w:pPr>
            <w:r>
              <w:rPr>
                <w:highlight w:val="white"/>
              </w:rPr>
              <w:t>Статья 1 часть 1</w:t>
            </w:r>
          </w:p>
          <w:p w:rsidR="0038623D" w:rsidRDefault="00A50649">
            <w:pPr>
              <w:ind w:left="-142" w:right="-86"/>
              <w:jc w:val="center"/>
              <w:rPr>
                <w:highlight w:val="white"/>
              </w:rPr>
            </w:pPr>
            <w:r>
              <w:rPr>
                <w:highlight w:val="white"/>
              </w:rPr>
              <w:t>пункт 2</w:t>
            </w:r>
          </w:p>
        </w:tc>
        <w:tc>
          <w:tcPr>
            <w:tcW w:w="7209" w:type="dxa"/>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2) общий</w:t>
            </w:r>
            <w:r>
              <w:rPr>
                <w:color w:val="000000"/>
              </w:rPr>
              <w:t xml:space="preserve"> объем расходов краевого бюджета на 2025 год в сумме 207 637 527,81 тыс. рублей, на 2026 год в сумме 185 288 657,40 тыс. рублей, в том числе условно утвержденные расходы в сумме 3 841 622,17 тыс. рублей, и на 2027 год в сумме 186 998 848,36 тыс. рублей, в </w:t>
            </w:r>
            <w:r>
              <w:rPr>
                <w:color w:val="000000"/>
              </w:rPr>
              <w:t>том числе условно утвержденные расходы в сумме 7 956 830,04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p w:rsidR="0038623D" w:rsidRDefault="0038623D">
            <w:pPr>
              <w:ind w:firstLine="540"/>
              <w:jc w:val="both"/>
              <w:rPr>
                <w:highlight w:val="white"/>
              </w:rPr>
            </w:pPr>
          </w:p>
        </w:tc>
        <w:tc>
          <w:tcPr>
            <w:tcW w:w="6641" w:type="dxa"/>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2) общий объем расходов краевого бюджета на 2025 год в сумме </w:t>
            </w:r>
            <w:r>
              <w:rPr>
                <w:rFonts w:eastAsiaTheme="minorHAnsi"/>
                <w:lang w:eastAsia="en-US"/>
              </w:rPr>
              <w:t>215 191 192,77</w:t>
            </w:r>
            <w:r>
              <w:rPr>
                <w:color w:val="000000"/>
              </w:rPr>
              <w:t xml:space="preserve"> тыс. рублей, на 2026 год в сумме 185 288 657,40 тыс. рублей, в том числе условно утвержденные расходы в с</w:t>
            </w:r>
            <w:r>
              <w:rPr>
                <w:color w:val="000000"/>
              </w:rPr>
              <w:t xml:space="preserve">умме 3 841 622,17 тыс. рублей, и </w:t>
            </w:r>
            <w:r>
              <w:rPr>
                <w:color w:val="000000"/>
              </w:rPr>
              <w:br/>
              <w:t>на 2027 год в сумме 186 998 848,36 тыс. рублей, в том числе условно утвержденные расходы в сумме 7 956 830,04 тыс. рублей;</w:t>
            </w:r>
          </w:p>
        </w:tc>
      </w:tr>
      <w:tr w:rsidR="0038623D">
        <w:tc>
          <w:tcPr>
            <w:tcW w:w="675" w:type="dxa"/>
          </w:tcPr>
          <w:p w:rsidR="0038623D" w:rsidRDefault="00A50649">
            <w:pPr>
              <w:ind w:left="-142" w:right="-86"/>
              <w:jc w:val="center"/>
              <w:rPr>
                <w:highlight w:val="white"/>
              </w:rPr>
            </w:pPr>
            <w:r>
              <w:rPr>
                <w:highlight w:val="white"/>
              </w:rPr>
              <w:t>3.</w:t>
            </w:r>
          </w:p>
        </w:tc>
        <w:tc>
          <w:tcPr>
            <w:tcW w:w="1176" w:type="dxa"/>
          </w:tcPr>
          <w:p w:rsidR="0038623D" w:rsidRDefault="00A50649">
            <w:pPr>
              <w:ind w:left="-142" w:right="-86"/>
              <w:jc w:val="center"/>
              <w:rPr>
                <w:highlight w:val="white"/>
              </w:rPr>
            </w:pPr>
            <w:r>
              <w:rPr>
                <w:highlight w:val="white"/>
              </w:rPr>
              <w:t>Статья 1 часть 1</w:t>
            </w:r>
          </w:p>
          <w:p w:rsidR="0038623D" w:rsidRDefault="00A50649">
            <w:pPr>
              <w:ind w:left="-142" w:right="-86"/>
              <w:jc w:val="center"/>
              <w:rPr>
                <w:highlight w:val="white"/>
              </w:rPr>
            </w:pPr>
            <w:r>
              <w:rPr>
                <w:highlight w:val="white"/>
              </w:rPr>
              <w:t>пункт 3</w:t>
            </w:r>
          </w:p>
        </w:tc>
        <w:tc>
          <w:tcPr>
            <w:tcW w:w="7209" w:type="dxa"/>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r>
              <w:rPr>
                <w:color w:val="000000"/>
              </w:rPr>
              <w:t>3) дефицит краевого бюджета на 2025 год в сумме 17 521 521,71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pP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p w:rsidR="0038623D" w:rsidRDefault="0038623D">
            <w:pPr>
              <w:pBdr>
                <w:top w:val="none" w:sz="4" w:space="0" w:color="000000"/>
                <w:left w:val="none" w:sz="4" w:space="0" w:color="000000"/>
                <w:bottom w:val="none" w:sz="4" w:space="0" w:color="000000"/>
                <w:right w:val="none" w:sz="4" w:space="0" w:color="000000"/>
              </w:pBdr>
              <w:spacing w:line="288" w:lineRule="atLeast"/>
              <w:jc w:val="both"/>
              <w:rPr>
                <w:highlight w:val="white"/>
              </w:rPr>
            </w:pPr>
          </w:p>
        </w:tc>
        <w:tc>
          <w:tcPr>
            <w:tcW w:w="6641" w:type="dxa"/>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3) дефицит краевого бюджета на 2025 год в сумме </w:t>
            </w:r>
            <w:r>
              <w:t>17 540 463,94</w:t>
            </w:r>
            <w:r>
              <w:rPr>
                <w:color w:val="000000"/>
              </w:rPr>
              <w:t xml:space="preserve">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tc>
      </w:tr>
    </w:tbl>
    <w:p w:rsidR="0038623D" w:rsidRDefault="0038623D">
      <w:pPr>
        <w:ind w:left="-142" w:right="-86"/>
        <w:jc w:val="center"/>
        <w:rPr>
          <w:highlight w:val="white"/>
        </w:rPr>
        <w:sectPr w:rsidR="0038623D">
          <w:headerReference w:type="default" r:id="rId6"/>
          <w:pgSz w:w="16838" w:h="11906" w:orient="landscape"/>
          <w:pgMar w:top="1985" w:right="567" w:bottom="1134" w:left="567" w:header="709" w:footer="709" w:gutter="0"/>
          <w:cols w:space="708"/>
          <w:titlePg/>
          <w:docGrid w:linePitch="360"/>
        </w:sectPr>
      </w:pPr>
    </w:p>
    <w:tbl>
      <w:tblPr>
        <w:tblW w:w="1573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1216"/>
        <w:gridCol w:w="918"/>
        <w:gridCol w:w="992"/>
        <w:gridCol w:w="992"/>
        <w:gridCol w:w="992"/>
        <w:gridCol w:w="1134"/>
        <w:gridCol w:w="567"/>
        <w:gridCol w:w="850"/>
        <w:gridCol w:w="713"/>
        <w:gridCol w:w="847"/>
        <w:gridCol w:w="935"/>
        <w:gridCol w:w="907"/>
        <w:gridCol w:w="992"/>
        <w:gridCol w:w="850"/>
        <w:gridCol w:w="709"/>
        <w:gridCol w:w="709"/>
        <w:gridCol w:w="734"/>
      </w:tblGrid>
      <w:tr w:rsidR="0038623D">
        <w:trPr>
          <w:tblHeader/>
        </w:trPr>
        <w:tc>
          <w:tcPr>
            <w:tcW w:w="678" w:type="dxa"/>
          </w:tcPr>
          <w:p w:rsidR="0038623D" w:rsidRDefault="00A50649">
            <w:pPr>
              <w:ind w:left="-142" w:right="-86"/>
              <w:jc w:val="center"/>
              <w:rPr>
                <w:highlight w:val="white"/>
              </w:rPr>
            </w:pPr>
            <w:r>
              <w:rPr>
                <w:highlight w:val="white"/>
              </w:rPr>
              <w:lastRenderedPageBreak/>
              <w:t>1</w:t>
            </w:r>
          </w:p>
        </w:tc>
        <w:tc>
          <w:tcPr>
            <w:tcW w:w="1216" w:type="dxa"/>
          </w:tcPr>
          <w:p w:rsidR="0038623D" w:rsidRDefault="00A50649">
            <w:pPr>
              <w:ind w:left="-130" w:right="-44"/>
              <w:jc w:val="center"/>
              <w:rPr>
                <w:highlight w:val="white"/>
              </w:rPr>
            </w:pPr>
            <w:r>
              <w:rPr>
                <w:highlight w:val="white"/>
              </w:rPr>
              <w:t>2</w:t>
            </w:r>
          </w:p>
        </w:tc>
        <w:tc>
          <w:tcPr>
            <w:tcW w:w="7158" w:type="dxa"/>
            <w:gridSpan w:val="8"/>
          </w:tcPr>
          <w:p w:rsidR="0038623D" w:rsidRDefault="00A50649">
            <w:pPr>
              <w:pStyle w:val="ConsPlusNormal"/>
              <w:ind w:firstLine="540"/>
              <w:jc w:val="center"/>
              <w:rPr>
                <w:sz w:val="24"/>
                <w:szCs w:val="24"/>
                <w:highlight w:val="white"/>
              </w:rPr>
            </w:pPr>
            <w:r>
              <w:rPr>
                <w:sz w:val="24"/>
                <w:szCs w:val="24"/>
                <w:highlight w:val="white"/>
              </w:rPr>
              <w:t>3</w:t>
            </w:r>
          </w:p>
        </w:tc>
        <w:tc>
          <w:tcPr>
            <w:tcW w:w="6683" w:type="dxa"/>
            <w:gridSpan w:val="8"/>
          </w:tcPr>
          <w:p w:rsidR="0038623D" w:rsidRDefault="00A50649">
            <w:pPr>
              <w:pStyle w:val="ConsPlusNormal"/>
              <w:ind w:firstLine="540"/>
              <w:jc w:val="center"/>
              <w:rPr>
                <w:sz w:val="24"/>
                <w:szCs w:val="24"/>
                <w:highlight w:val="white"/>
              </w:rPr>
            </w:pPr>
            <w:r>
              <w:rPr>
                <w:sz w:val="24"/>
                <w:szCs w:val="24"/>
                <w:highlight w:val="white"/>
              </w:rPr>
              <w:t>4</w:t>
            </w:r>
          </w:p>
        </w:tc>
      </w:tr>
      <w:tr w:rsidR="0038623D">
        <w:trPr>
          <w:trHeight w:val="276"/>
        </w:trPr>
        <w:tc>
          <w:tcPr>
            <w:tcW w:w="678" w:type="dxa"/>
            <w:vMerge w:val="restart"/>
          </w:tcPr>
          <w:p w:rsidR="0038623D" w:rsidRDefault="00A50649">
            <w:pPr>
              <w:ind w:left="-142" w:right="-86"/>
              <w:jc w:val="center"/>
              <w:rPr>
                <w:highlight w:val="white"/>
              </w:rPr>
            </w:pPr>
            <w:r>
              <w:t>4.</w:t>
            </w:r>
          </w:p>
        </w:tc>
        <w:tc>
          <w:tcPr>
            <w:tcW w:w="1216" w:type="dxa"/>
            <w:vMerge w:val="restart"/>
          </w:tcPr>
          <w:p w:rsidR="0038623D" w:rsidRDefault="00A50649">
            <w:pPr>
              <w:ind w:left="-142" w:right="-86"/>
              <w:jc w:val="center"/>
              <w:rPr>
                <w:color w:val="000000" w:themeColor="text1"/>
                <w:highlight w:val="white"/>
              </w:rPr>
            </w:pPr>
            <w:r>
              <w:rPr>
                <w:color w:val="000000" w:themeColor="text1"/>
                <w:highlight w:val="white"/>
              </w:rPr>
              <w:t xml:space="preserve">Статья 4 </w:t>
            </w:r>
          </w:p>
          <w:p w:rsidR="0038623D" w:rsidRDefault="0038623D">
            <w:pPr>
              <w:ind w:left="-130" w:right="-44"/>
              <w:jc w:val="center"/>
              <w:rPr>
                <w:color w:val="000000" w:themeColor="text1"/>
                <w:highlight w:val="white"/>
              </w:rPr>
            </w:pP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b/>
                <w:bCs/>
                <w:color w:val="000000"/>
              </w:rPr>
            </w:pPr>
            <w:r>
              <w:rPr>
                <w:color w:val="000000"/>
              </w:rPr>
              <w:t>Статья 4. Объем межбюджетных трансфертов, получаемых из других бюджетов бюджетной системы Российской Федерации</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b/>
                <w:bCs/>
                <w:color w:val="000000"/>
              </w:rPr>
            </w:pPr>
          </w:p>
          <w:p w:rsidR="0038623D" w:rsidRDefault="00A50649">
            <w:pPr>
              <w:pBdr>
                <w:top w:val="none" w:sz="4" w:space="0" w:color="000000"/>
                <w:left w:val="none" w:sz="4" w:space="0" w:color="000000"/>
                <w:bottom w:val="none" w:sz="4" w:space="0" w:color="000000"/>
                <w:right w:val="none" w:sz="4" w:space="0" w:color="000000"/>
              </w:pBdr>
              <w:spacing w:line="288" w:lineRule="atLeast"/>
              <w:ind w:firstLine="539"/>
              <w:jc w:val="both"/>
            </w:pPr>
            <w:r>
              <w:rPr>
                <w:color w:val="000000"/>
              </w:rPr>
              <w:t xml:space="preserve">Учесть в составе доходов краевого бюджета межбюджетные трансферты, получаемые из федерального бюджета, на 2025 год в сумме 70 614 034,99 тыс. рублей, на 2026 год в сумме </w:t>
            </w:r>
            <w:r>
              <w:rPr>
                <w:color w:val="000000"/>
              </w:rPr>
              <w:br/>
              <w:t xml:space="preserve">64 434 952,50 тыс. рублей и на 2027 год в сумме </w:t>
            </w:r>
            <w:r>
              <w:rPr>
                <w:color w:val="000000"/>
              </w:rPr>
              <w:br/>
              <w:t>60 673 429,49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p w:rsidR="0038623D" w:rsidRDefault="0038623D">
            <w:pPr>
              <w:pStyle w:val="ConsPlusNormal"/>
              <w:ind w:firstLine="540"/>
              <w:jc w:val="center"/>
              <w:rPr>
                <w:color w:val="000000" w:themeColor="text1"/>
                <w:sz w:val="24"/>
                <w:szCs w:val="24"/>
                <w:highlight w:val="white"/>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r>
              <w:rPr>
                <w:color w:val="000000"/>
              </w:rPr>
              <w:t xml:space="preserve">Статья </w:t>
            </w:r>
            <w:r>
              <w:rPr>
                <w:color w:val="000000"/>
              </w:rPr>
              <w:t>4. Объем межбюджетных трансфертов, получаемых из других бюджетов бюджетной системы Российской Федерации</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pPr>
          </w:p>
          <w:p w:rsidR="0038623D" w:rsidRDefault="00A50649">
            <w:pPr>
              <w:ind w:firstLine="539"/>
              <w:jc w:val="both"/>
            </w:pPr>
            <w:r>
              <w:rPr>
                <w:rFonts w:eastAsiaTheme="minorHAnsi"/>
                <w:lang w:eastAsia="en-US"/>
              </w:rPr>
              <w:t>Учесть в составе доходов краевого бюджета:</w:t>
            </w:r>
          </w:p>
          <w:p w:rsidR="0038623D" w:rsidRDefault="00A50649">
            <w:pPr>
              <w:ind w:firstLine="539"/>
              <w:jc w:val="both"/>
            </w:pPr>
            <w:r>
              <w:rPr>
                <w:rFonts w:eastAsiaTheme="minorHAnsi"/>
                <w:lang w:eastAsia="en-US"/>
              </w:rPr>
              <w:t>1) межбюджетные трансферты, получаемые из федерального бюджета, на 2025 год в сумме 71 615 056,54 тыс. рубле</w:t>
            </w:r>
            <w:r>
              <w:rPr>
                <w:rFonts w:eastAsiaTheme="minorHAnsi"/>
                <w:lang w:eastAsia="en-US"/>
              </w:rPr>
              <w:t>й, на 2026 год в сумме 64 434 952,50 тыс. рублей и на 2027 год в сумме 60 673 429,49 тыс. рублей;</w:t>
            </w:r>
          </w:p>
          <w:p w:rsidR="0038623D" w:rsidRDefault="00A50649">
            <w:pPr>
              <w:pBdr>
                <w:top w:val="none" w:sz="4" w:space="0" w:color="000000"/>
                <w:left w:val="none" w:sz="4" w:space="0" w:color="000000"/>
                <w:bottom w:val="none" w:sz="4" w:space="0" w:color="000000"/>
                <w:right w:val="none" w:sz="4" w:space="0" w:color="000000"/>
              </w:pBdr>
              <w:spacing w:line="288" w:lineRule="atLeast"/>
              <w:ind w:firstLine="539"/>
              <w:jc w:val="both"/>
              <w:rPr>
                <w:rFonts w:eastAsiaTheme="minorHAnsi"/>
                <w:lang w:eastAsia="en-US"/>
              </w:rPr>
            </w:pPr>
            <w:r>
              <w:rPr>
                <w:rFonts w:eastAsiaTheme="minorHAnsi"/>
                <w:lang w:eastAsia="en-US"/>
              </w:rPr>
              <w:t>2) межбюджетные трансферты, получаемые из бюджета Фонда пенсионного и социального страхования Российской Федерации, на 2025 год в сумме 5 072,84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39"/>
              <w:jc w:val="both"/>
              <w:rPr>
                <w:color w:val="000000" w:themeColor="text1"/>
                <w:highlight w:val="white"/>
              </w:rPr>
            </w:pPr>
          </w:p>
        </w:tc>
      </w:tr>
      <w:tr w:rsidR="0038623D">
        <w:tc>
          <w:tcPr>
            <w:tcW w:w="678" w:type="dxa"/>
          </w:tcPr>
          <w:p w:rsidR="0038623D" w:rsidRDefault="00A50649">
            <w:pPr>
              <w:ind w:left="-142" w:right="-86"/>
              <w:jc w:val="center"/>
              <w:rPr>
                <w:highlight w:val="white"/>
              </w:rPr>
            </w:pPr>
            <w:r>
              <w:rPr>
                <w:highlight w:val="white"/>
              </w:rPr>
              <w:t>5.</w:t>
            </w:r>
          </w:p>
        </w:tc>
        <w:tc>
          <w:tcPr>
            <w:tcW w:w="1216" w:type="dxa"/>
          </w:tcPr>
          <w:p w:rsidR="0038623D" w:rsidRDefault="00A50649">
            <w:pPr>
              <w:ind w:left="-142" w:right="-86"/>
              <w:jc w:val="center"/>
              <w:rPr>
                <w:color w:val="000000" w:themeColor="text1"/>
                <w:highlight w:val="white"/>
              </w:rPr>
            </w:pPr>
            <w:r>
              <w:rPr>
                <w:color w:val="000000" w:themeColor="text1"/>
                <w:highlight w:val="white"/>
              </w:rPr>
              <w:t>Статья 5</w:t>
            </w:r>
          </w:p>
          <w:p w:rsidR="0038623D" w:rsidRDefault="00A50649">
            <w:pPr>
              <w:ind w:left="-142" w:right="-86"/>
              <w:jc w:val="center"/>
              <w:rPr>
                <w:color w:val="000000" w:themeColor="text1"/>
                <w:highlight w:val="white"/>
              </w:rPr>
            </w:pPr>
            <w:r>
              <w:rPr>
                <w:color w:val="000000" w:themeColor="text1"/>
                <w:highlight w:val="white"/>
              </w:rPr>
              <w:t>часть 6</w:t>
            </w:r>
          </w:p>
          <w:p w:rsidR="0038623D" w:rsidRDefault="00A50649">
            <w:pPr>
              <w:ind w:left="-142" w:right="-86"/>
              <w:jc w:val="center"/>
              <w:rPr>
                <w:color w:val="000000" w:themeColor="text1"/>
                <w:highlight w:val="white"/>
              </w:rPr>
            </w:pPr>
            <w:r>
              <w:rPr>
                <w:color w:val="000000" w:themeColor="text1"/>
                <w:highlight w:val="white"/>
              </w:rPr>
              <w:t xml:space="preserve">абзац </w:t>
            </w:r>
          </w:p>
          <w:p w:rsidR="0038623D" w:rsidRDefault="00A50649">
            <w:pPr>
              <w:ind w:left="-142" w:right="-86"/>
              <w:jc w:val="center"/>
              <w:rPr>
                <w:color w:val="000000" w:themeColor="text1"/>
                <w:highlight w:val="white"/>
              </w:rPr>
            </w:pPr>
            <w:r>
              <w:rPr>
                <w:color w:val="000000" w:themeColor="text1"/>
                <w:highlight w:val="white"/>
              </w:rPr>
              <w:t>первый</w:t>
            </w: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6. Утвердить объем бюджетных ассигнований дорожного фонда Ставропольского края на 2025 год в сумме </w:t>
            </w:r>
            <w:r>
              <w:rPr>
                <w:color w:val="000000"/>
              </w:rPr>
              <w:br/>
              <w:t xml:space="preserve">22 505 471,91 тыс. рублей, на 2026 год в сумме </w:t>
            </w:r>
            <w:r>
              <w:rPr>
                <w:color w:val="000000"/>
              </w:rPr>
              <w:br/>
              <w:t xml:space="preserve">19 667 104,16 тыс. рублей и на 2027 год в сумме </w:t>
            </w:r>
            <w:r>
              <w:rPr>
                <w:color w:val="000000"/>
              </w:rPr>
              <w:br/>
            </w:r>
            <w:r>
              <w:rPr>
                <w:color w:val="000000"/>
              </w:rPr>
              <w:t>21 326 721,16 тыс. рублей, в том числе на:</w:t>
            </w: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6. Утвердить объем бюджетных ассигнований дорожного фонда Ставропольского края на 2025 год в сумме </w:t>
            </w:r>
            <w:r>
              <w:t>22 517 568,76</w:t>
            </w:r>
            <w:r>
              <w:rPr>
                <w:color w:val="000000"/>
              </w:rPr>
              <w:t xml:space="preserve"> тыс. рублей, на 2026 год в сумме </w:t>
            </w:r>
            <w:r>
              <w:rPr>
                <w:color w:val="000000"/>
              </w:rPr>
              <w:br/>
              <w:t xml:space="preserve">19 667 104,16 тыс. рублей и на 2027 год в сумме </w:t>
            </w:r>
            <w:r>
              <w:rPr>
                <w:color w:val="000000"/>
              </w:rPr>
              <w:br/>
            </w:r>
            <w:r>
              <w:rPr>
                <w:color w:val="000000"/>
              </w:rPr>
              <w:t>21 326 721,16 тыс. рублей, в том числе на:</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r>
      <w:tr w:rsidR="0038623D">
        <w:trPr>
          <w:trHeight w:val="276"/>
        </w:trPr>
        <w:tc>
          <w:tcPr>
            <w:tcW w:w="678" w:type="dxa"/>
            <w:vMerge w:val="restart"/>
          </w:tcPr>
          <w:p w:rsidR="0038623D" w:rsidRDefault="00A50649">
            <w:pPr>
              <w:ind w:left="-142" w:right="-86"/>
              <w:jc w:val="center"/>
              <w:rPr>
                <w:highlight w:val="white"/>
              </w:rPr>
            </w:pPr>
            <w:r>
              <w:t>6.</w:t>
            </w:r>
          </w:p>
        </w:tc>
        <w:tc>
          <w:tcPr>
            <w:tcW w:w="1216" w:type="dxa"/>
            <w:vMerge w:val="restart"/>
          </w:tcPr>
          <w:p w:rsidR="0038623D" w:rsidRDefault="00A50649">
            <w:pPr>
              <w:ind w:left="-142" w:right="-86"/>
              <w:jc w:val="center"/>
              <w:rPr>
                <w:highlight w:val="white"/>
              </w:rPr>
            </w:pPr>
            <w:r>
              <w:rPr>
                <w:highlight w:val="white"/>
              </w:rPr>
              <w:t>Статья 5</w:t>
            </w:r>
          </w:p>
          <w:p w:rsidR="0038623D" w:rsidRDefault="00A50649">
            <w:pPr>
              <w:ind w:left="-142" w:right="-86"/>
              <w:jc w:val="center"/>
              <w:rPr>
                <w:highlight w:val="white"/>
              </w:rPr>
            </w:pPr>
            <w:r>
              <w:rPr>
                <w:highlight w:val="white"/>
              </w:rPr>
              <w:t>часть 6</w:t>
            </w:r>
          </w:p>
          <w:p w:rsidR="0038623D" w:rsidRDefault="00A50649">
            <w:pPr>
              <w:ind w:left="-142" w:right="-86"/>
              <w:jc w:val="center"/>
              <w:rPr>
                <w:highlight w:val="white"/>
              </w:rPr>
            </w:pPr>
            <w:r>
              <w:rPr>
                <w:highlight w:val="white"/>
              </w:rPr>
              <w:t>пункт 1</w:t>
            </w: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1) финансовое обеспечение дорожной деятельности в отношении автомобильных дорог общего пользования регионального или межмуниципального, местного значения в Ставропольском крае </w:t>
            </w:r>
            <w:r>
              <w:rPr>
                <w:color w:val="000000"/>
              </w:rPr>
              <w:br/>
            </w:r>
            <w:r>
              <w:rPr>
                <w:color w:val="000000"/>
              </w:rPr>
              <w:t xml:space="preserve">на 2025 год в сумме 22 472 580,87 тыс. рублей, на 2026 год в сумме 19 634 308,42 тыс. рублей и на 2027 год в сумме </w:t>
            </w:r>
            <w:r>
              <w:rPr>
                <w:color w:val="000000"/>
              </w:rPr>
              <w:br/>
              <w:t>21 294 021,24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1) финансовое обеспечение дорожной деятельности в отношении автомобильных дорог общего пользования регионального</w:t>
            </w:r>
            <w:r>
              <w:rPr>
                <w:color w:val="000000"/>
              </w:rPr>
              <w:t xml:space="preserve"> или межмуниципального, местного значения в Ставропольском крае на 2025 год в сумме </w:t>
            </w:r>
            <w:r>
              <w:rPr>
                <w:color w:val="000000"/>
              </w:rPr>
              <w:br/>
            </w:r>
            <w:r>
              <w:t>22 484 677,72</w:t>
            </w:r>
            <w:r>
              <w:rPr>
                <w:color w:val="000000"/>
              </w:rPr>
              <w:t xml:space="preserve"> тыс. рублей, на 2026 год в сумме </w:t>
            </w:r>
            <w:r>
              <w:rPr>
                <w:color w:val="000000"/>
              </w:rPr>
              <w:br/>
              <w:t xml:space="preserve">19 634 308,42 тыс. рублей и на 2027 год в сумме </w:t>
            </w:r>
            <w:r>
              <w:rPr>
                <w:color w:val="000000"/>
              </w:rPr>
              <w:br/>
              <w:t>21 294 021,24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tc>
      </w:tr>
      <w:tr w:rsidR="0038623D">
        <w:trPr>
          <w:trHeight w:val="276"/>
        </w:trPr>
        <w:tc>
          <w:tcPr>
            <w:tcW w:w="678" w:type="dxa"/>
            <w:vMerge w:val="restart"/>
          </w:tcPr>
          <w:p w:rsidR="0038623D" w:rsidRDefault="00A50649">
            <w:pPr>
              <w:ind w:left="-142" w:right="-86"/>
              <w:jc w:val="center"/>
            </w:pPr>
            <w:r>
              <w:t>7.</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1</w:t>
            </w:r>
          </w:p>
          <w:p w:rsidR="0038623D" w:rsidRDefault="00A50649">
            <w:pPr>
              <w:ind w:left="-142" w:right="-86"/>
              <w:jc w:val="center"/>
              <w:rPr>
                <w:highlight w:val="white"/>
              </w:rPr>
            </w:pPr>
            <w:r>
              <w:rPr>
                <w:highlight w:val="white"/>
              </w:rPr>
              <w:t>пункт 1</w:t>
            </w: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1) б</w:t>
            </w:r>
            <w:r>
              <w:rPr>
                <w:color w:val="000000"/>
              </w:rPr>
              <w:t xml:space="preserve">юджетных ассигнований на 2025 год в объеме </w:t>
            </w:r>
            <w:r>
              <w:rPr>
                <w:color w:val="000000"/>
              </w:rPr>
              <w:br/>
              <w:t xml:space="preserve">26 177,72 тыс. рублей, на 2026 год в объеме 26 177,72 тыс. рублей и на 2027 год в объеме 26 177,72 тыс. рублей, предусмотренных по </w:t>
            </w:r>
            <w:r>
              <w:rPr>
                <w:color w:val="000000"/>
              </w:rPr>
              <w:lastRenderedPageBreak/>
              <w:t>разделу "Общегосударственные вопросы", подразделу "Другие общегосударственные воп</w:t>
            </w:r>
            <w:r>
              <w:rPr>
                <w:color w:val="000000"/>
              </w:rPr>
              <w:t>росы" классификации расходов бюджетов на финансовое обеспечение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 замещающих (замещ</w:t>
            </w:r>
            <w:r>
              <w:rPr>
                <w:color w:val="000000"/>
              </w:rPr>
              <w:t>авших) государственные должности Ставропольского края, государственные должности государственной службы Ставропольского края, должности государственной гражданской службы Ставропольского края;</w:t>
            </w: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r>
              <w:rPr>
                <w:color w:val="000000"/>
              </w:rPr>
              <w:lastRenderedPageBreak/>
              <w:t xml:space="preserve">1) бюджетных ассигнований </w:t>
            </w:r>
            <w:r>
              <w:rPr>
                <w:color w:val="000000"/>
              </w:rPr>
              <w:t>на 2025 год в объеме</w:t>
            </w:r>
            <w:r>
              <w:rPr>
                <w:color w:val="FF0000"/>
              </w:rPr>
              <w:t xml:space="preserve"> </w:t>
            </w:r>
            <w:r>
              <w:rPr>
                <w:color w:val="FF0000"/>
              </w:rPr>
              <w:br/>
            </w:r>
            <w:r>
              <w:rPr>
                <w:color w:val="000000" w:themeColor="text1"/>
              </w:rPr>
              <w:t xml:space="preserve">19 459,58 тыс. </w:t>
            </w:r>
            <w:r>
              <w:rPr>
                <w:color w:val="000000" w:themeColor="text1"/>
              </w:rPr>
              <w:t>рублей,</w:t>
            </w:r>
            <w:r>
              <w:rPr>
                <w:color w:val="000000"/>
              </w:rPr>
              <w:t xml:space="preserve"> на 2026 год в объеме </w:t>
            </w:r>
            <w:r>
              <w:rPr>
                <w:color w:val="000000"/>
              </w:rPr>
              <w:br/>
              <w:t xml:space="preserve">26 177,72 тыс. рублей и на 2027 год в объеме </w:t>
            </w:r>
            <w:r>
              <w:rPr>
                <w:color w:val="000000"/>
              </w:rPr>
              <w:br/>
            </w:r>
            <w:r>
              <w:rPr>
                <w:color w:val="000000"/>
              </w:rPr>
              <w:lastRenderedPageBreak/>
              <w:t>26 177,72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w:t>
            </w:r>
            <w:r>
              <w:rPr>
                <w:color w:val="000000"/>
              </w:rPr>
              <w:t>ечение в соответствии с законодательством Ставропольского края дополнительных государственных гарантий и выплату единовременного поощрения в связи с выходом на страховую пенсию лиц, замещающих (замещавших) государственные должности Ставропольского края, го</w:t>
            </w:r>
            <w:r>
              <w:rPr>
                <w:color w:val="000000"/>
              </w:rPr>
              <w:t>сударственные должности государственной службы Ставропольского края, должности государственной гражданской службы Ставропольского края;</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pPr>
          </w:p>
        </w:tc>
      </w:tr>
      <w:tr w:rsidR="0038623D">
        <w:tc>
          <w:tcPr>
            <w:tcW w:w="678" w:type="dxa"/>
          </w:tcPr>
          <w:p w:rsidR="0038623D" w:rsidRDefault="00A50649">
            <w:pPr>
              <w:ind w:left="-142" w:right="-86"/>
              <w:jc w:val="center"/>
              <w:rPr>
                <w:highlight w:val="white"/>
              </w:rPr>
            </w:pPr>
            <w:r>
              <w:lastRenderedPageBreak/>
              <w:t>8</w:t>
            </w:r>
            <w:r>
              <w:rPr>
                <w:highlight w:val="white"/>
              </w:rPr>
              <w:t>.</w:t>
            </w:r>
          </w:p>
        </w:tc>
        <w:tc>
          <w:tcPr>
            <w:tcW w:w="1216" w:type="dxa"/>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1</w:t>
            </w:r>
          </w:p>
          <w:p w:rsidR="0038623D" w:rsidRDefault="00A50649">
            <w:pPr>
              <w:ind w:left="-142" w:right="-86"/>
              <w:jc w:val="center"/>
              <w:rPr>
                <w:highlight w:val="white"/>
              </w:rPr>
            </w:pPr>
            <w:r>
              <w:rPr>
                <w:highlight w:val="white"/>
              </w:rPr>
              <w:t>пункт 3</w:t>
            </w: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rPr>
            </w:pPr>
            <w:r>
              <w:rPr>
                <w:color w:val="000000" w:themeColor="text1"/>
              </w:rPr>
              <w:t>3) бюджетных ассигнований на 2025 год в объеме 1 999 208,30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объеме 150 000,</w:t>
            </w:r>
            <w:r>
              <w:rPr>
                <w:color w:val="000000" w:themeColor="text1"/>
              </w:rPr>
              <w:t xml:space="preserve">00 тыс. рублей, на 2026 год в объеме 1 000 000,00 тыс. рублей и на 2027 год в объеме 1 000 000,00 тыс. рублей, предусмотренных по разделу "Общегосударственные вопросы", подразделу "Резервные фонды" классификации расходов бюджетов на финансовое обеспечение </w:t>
            </w:r>
            <w:r>
              <w:rPr>
                <w:color w:val="000000" w:themeColor="text1"/>
              </w:rPr>
              <w:t xml:space="preserve">расходов в соответствии с </w:t>
            </w:r>
            <w:hyperlink r:id="rId7" w:tooltip="https://login.consultant.ru/link/?req=doc&amp;base=RLAW077&amp;n=225083&amp;date=03.06.2025" w:history="1">
              <w:r>
                <w:rPr>
                  <w:rStyle w:val="af1"/>
                  <w:color w:val="000000" w:themeColor="text1"/>
                  <w:u w:val="none"/>
                </w:rPr>
                <w:t>постановлением</w:t>
              </w:r>
            </w:hyperlink>
            <w:r>
              <w:rPr>
                <w:color w:val="000000" w:themeColor="text1"/>
              </w:rPr>
              <w:t xml:space="preserve"> Правительства Ставропольского края</w:t>
            </w:r>
            <w:r>
              <w:rPr>
                <w:color w:val="000000" w:themeColor="text1"/>
              </w:rPr>
              <w:t xml:space="preserve"> от 19 сентября 2001 г. № 209-п "Об утверждении Положения о резервном фонде Правительства Ставропольского края";</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rPr>
            </w:pPr>
            <w:r>
              <w:rPr>
                <w:color w:val="000000" w:themeColor="text1"/>
                <w:spacing w:val="-6"/>
                <w:highlight w:val="white"/>
              </w:rPr>
              <w:t xml:space="preserve">3) бюджетных ассигнований на 2025 год в объеме </w:t>
            </w:r>
            <w:r>
              <w:rPr>
                <w:color w:val="000000" w:themeColor="text1"/>
                <w:spacing w:val="-6"/>
                <w:highlight w:val="white"/>
              </w:rPr>
              <w:br/>
              <w:t>3 007 197,47 тыс. ру</w:t>
            </w:r>
            <w:r>
              <w:rPr>
                <w:color w:val="000000" w:themeColor="text1"/>
                <w:highlight w:val="white"/>
              </w:rPr>
              <w:t>б-лей, в том числе на проведение аварийно-восстановительных работ и иных м</w:t>
            </w:r>
            <w:r>
              <w:rPr>
                <w:color w:val="000000" w:themeColor="text1"/>
                <w:highlight w:val="white"/>
              </w:rPr>
              <w:t xml:space="preserve">ероприятий, связанных с ликвидацией последствий стихийных бедствий и других чрезвычайных ситуаций, в объеме 150 000,00 тыс. рублей, </w:t>
            </w:r>
            <w:r>
              <w:rPr>
                <w:color w:val="000000" w:themeColor="text1"/>
                <w:highlight w:val="white"/>
              </w:rPr>
              <w:br/>
              <w:t>на 2026 год в</w:t>
            </w:r>
            <w:r>
              <w:rPr>
                <w:color w:val="000000" w:themeColor="text1"/>
                <w:spacing w:val="-6"/>
                <w:highlight w:val="white"/>
              </w:rPr>
              <w:t xml:space="preserve"> объеме 291 473,21 тыс. рублей и на 2027 год в объеме 1 000 000,00 тыс. ру</w:t>
            </w:r>
            <w:r>
              <w:rPr>
                <w:color w:val="000000" w:themeColor="text1"/>
                <w:highlight w:val="white"/>
              </w:rPr>
              <w:t>б-лей, предусмотренных по разделу "О</w:t>
            </w:r>
            <w:r>
              <w:rPr>
                <w:color w:val="000000" w:themeColor="text1"/>
                <w:highlight w:val="white"/>
              </w:rPr>
              <w:t xml:space="preserve">бщегосударственные вопросы", подразделу "Резервные фонды" классификации расходов бюджетов на финансовое обеспечение расходов </w:t>
            </w:r>
            <w:hyperlink r:id="rId8" w:tooltip="https://login.consultant.ru/link/?req=doc&amp;base=RLAW077&amp;n=225083&amp;date=25.02.2025" w:history="1">
              <w:r>
                <w:rPr>
                  <w:rStyle w:val="af1"/>
                  <w:color w:val="000000" w:themeColor="text1"/>
                  <w:u w:val="none"/>
                </w:rPr>
                <w:t>в соответствии с постановлением</w:t>
              </w:r>
            </w:hyperlink>
            <w:r>
              <w:rPr>
                <w:color w:val="000000" w:themeColor="text1"/>
                <w:highlight w:val="white"/>
              </w:rPr>
              <w:t xml:space="preserve"> Правительства Ставропольского края от 19 сентября 2001 г. </w:t>
            </w:r>
            <w:r>
              <w:rPr>
                <w:color w:val="000000" w:themeColor="text1"/>
                <w:highlight w:val="white"/>
              </w:rPr>
              <w:br/>
              <w:t>№ 209-п "Об утверждении Положения о резервном фонде Правительства Ставропольского края";</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r>
      <w:tr w:rsidR="0038623D">
        <w:trPr>
          <w:trHeight w:val="276"/>
        </w:trPr>
        <w:tc>
          <w:tcPr>
            <w:tcW w:w="678" w:type="dxa"/>
            <w:vMerge w:val="restart"/>
          </w:tcPr>
          <w:p w:rsidR="0038623D" w:rsidRDefault="00A50649">
            <w:pPr>
              <w:ind w:left="-142" w:right="-86"/>
              <w:jc w:val="center"/>
            </w:pPr>
            <w:r>
              <w:t>9.</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1</w:t>
            </w:r>
          </w:p>
          <w:p w:rsidR="0038623D" w:rsidRDefault="00A50649">
            <w:pPr>
              <w:ind w:left="-142" w:right="-86"/>
              <w:jc w:val="center"/>
              <w:rPr>
                <w:highlight w:val="white"/>
              </w:rPr>
            </w:pPr>
            <w:r>
              <w:rPr>
                <w:highlight w:val="white"/>
              </w:rPr>
              <w:t>пункт 5</w:t>
            </w: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5) бюджетных ассигнований на 2025 год в объеме </w:t>
            </w:r>
            <w:r>
              <w:rPr>
                <w:color w:val="000000"/>
              </w:rPr>
              <w:br/>
              <w:t>15 000,00 тыс. рублей, на 2026 год в объеме 15000,00 тыс. рублей и на 2027 год в объеме 15 000,00 тыс. рублей, предусмотренных по разделу "Общегосударственные вопросы", подразделу "Другие общегосударс</w:t>
            </w:r>
            <w:r>
              <w:rPr>
                <w:color w:val="000000"/>
              </w:rPr>
              <w:t>твенные вопросы" классификации расходов бюджетов на финансовое обеспечение расходов, связанных с проведени</w:t>
            </w:r>
            <w:r>
              <w:rPr>
                <w:color w:val="000000"/>
              </w:rPr>
              <w:lastRenderedPageBreak/>
              <w:t>ем мероприятий по празднованию годовщины Победы в Великой Отечественной войне 1941-1945 годов.</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lastRenderedPageBreak/>
              <w:t xml:space="preserve">5) бюджетных ассигнований </w:t>
            </w:r>
            <w:r>
              <w:rPr>
                <w:color w:val="000000"/>
              </w:rPr>
              <w:t xml:space="preserve">на 2025 год в объеме </w:t>
            </w:r>
            <w:r>
              <w:rPr>
                <w:color w:val="000000"/>
              </w:rPr>
              <w:br/>
            </w:r>
            <w:r>
              <w:rPr>
                <w:color w:val="000000"/>
              </w:rPr>
              <w:t>3 071,44 тыс. рублей</w:t>
            </w:r>
            <w:r>
              <w:rPr>
                <w:color w:val="000000"/>
              </w:rPr>
              <w:t>, на 2026 год в объеме 15 000,00 тыс. рублей и на 2027 год в объеме 15 000,00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w:t>
            </w:r>
            <w:r>
              <w:rPr>
                <w:color w:val="000000"/>
              </w:rPr>
              <w:t>нсовое обеспечение расходов, свя</w:t>
            </w:r>
            <w:r>
              <w:rPr>
                <w:color w:val="000000"/>
              </w:rPr>
              <w:lastRenderedPageBreak/>
              <w:t>занных с проведением мероприятий по празднованию годовщины Победы в Великой Отечественной войне 1941-1945 годов.</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r>
      <w:tr w:rsidR="0038623D">
        <w:tc>
          <w:tcPr>
            <w:tcW w:w="678" w:type="dxa"/>
          </w:tcPr>
          <w:p w:rsidR="0038623D" w:rsidRDefault="00A50649">
            <w:pPr>
              <w:ind w:left="-142" w:right="-86"/>
              <w:jc w:val="center"/>
              <w:rPr>
                <w:highlight w:val="white"/>
              </w:rPr>
            </w:pPr>
            <w:r>
              <w:lastRenderedPageBreak/>
              <w:t>10</w:t>
            </w:r>
            <w:r>
              <w:rPr>
                <w:highlight w:val="white"/>
              </w:rPr>
              <w:t>.</w:t>
            </w:r>
          </w:p>
        </w:tc>
        <w:tc>
          <w:tcPr>
            <w:tcW w:w="1216" w:type="dxa"/>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2</w:t>
            </w:r>
          </w:p>
          <w:p w:rsidR="0038623D" w:rsidRDefault="0038623D">
            <w:pPr>
              <w:ind w:left="-142" w:right="-86"/>
              <w:jc w:val="center"/>
              <w:rPr>
                <w:highlight w:val="white"/>
              </w:rPr>
            </w:pP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2. Средства краевого бюджета на 2026 год в объеме 2 119 193,83 тыс. рублей и на 2027 год в объеме </w:t>
            </w:r>
            <w:r>
              <w:rPr>
                <w:color w:val="000000"/>
              </w:rPr>
              <w:br/>
              <w:t>8 991 623,91 тыс. рублей, предусмотренные министерству финансов Ставропольского края по разделу "Общегосударственные вопросы", подразделу "Другие общегосудар</w:t>
            </w:r>
            <w:r>
              <w:rPr>
                <w:color w:val="000000"/>
              </w:rPr>
              <w:t>ственные вопросы" классификации расходов бюджетов, направляются на повышение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после внесения соответствующих из</w:t>
            </w:r>
            <w:r>
              <w:rPr>
                <w:color w:val="000000"/>
              </w:rPr>
              <w:t>менений в настоящий Закон.</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2. Средства краевого бюджета на 2026 год в объеме 2 119 193,83 тыс. рублей и на 2027 год в объеме </w:t>
            </w:r>
            <w:r>
              <w:rPr>
                <w:color w:val="000000"/>
              </w:rPr>
              <w:br/>
            </w:r>
            <w:r>
              <w:t>8 986 107,87</w:t>
            </w:r>
            <w:r>
              <w:rPr>
                <w:color w:val="000000"/>
              </w:rPr>
              <w:t xml:space="preserve"> тыс. рублей, предусмотренные министерству финансов Ставропольского края по разделу "Общегосударственные вопросы", по</w:t>
            </w:r>
            <w:r>
              <w:rPr>
                <w:color w:val="000000"/>
              </w:rPr>
              <w:t>дразделу "Другие общегосударственные вопросы" классификации расходов бюджетов, направляются на повышение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после</w:t>
            </w:r>
            <w:r>
              <w:rPr>
                <w:color w:val="000000"/>
              </w:rPr>
              <w:t xml:space="preserve"> внесения соответствующих изменений в настоящий Закон.</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p>
        </w:tc>
      </w:tr>
      <w:tr w:rsidR="0038623D">
        <w:trPr>
          <w:trHeight w:val="276"/>
        </w:trPr>
        <w:tc>
          <w:tcPr>
            <w:tcW w:w="678" w:type="dxa"/>
            <w:vMerge w:val="restart"/>
          </w:tcPr>
          <w:p w:rsidR="0038623D" w:rsidRDefault="00A50649">
            <w:pPr>
              <w:ind w:left="-142" w:right="-86"/>
              <w:jc w:val="center"/>
              <w:rPr>
                <w:highlight w:val="white"/>
              </w:rPr>
            </w:pPr>
            <w:r>
              <w:t>11</w:t>
            </w:r>
            <w:r>
              <w:rPr>
                <w:highlight w:val="white"/>
              </w:rPr>
              <w:t>.</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4</w:t>
            </w:r>
          </w:p>
          <w:p w:rsidR="0038623D" w:rsidRDefault="00A50649">
            <w:pPr>
              <w:ind w:left="-142" w:right="-86"/>
              <w:jc w:val="center"/>
              <w:rPr>
                <w:highlight w:val="white"/>
              </w:rPr>
            </w:pPr>
            <w:r>
              <w:rPr>
                <w:highlight w:val="white"/>
              </w:rPr>
              <w:t xml:space="preserve">пункт </w:t>
            </w:r>
            <w:r>
              <w:t>5</w:t>
            </w: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5) субсидии в виде имущественного взноса Ставропольского края в автономную некоммерческую организацию дополнительного образования "Детский технопарк "Кванториум" в городе</w:t>
            </w:r>
            <w:r>
              <w:rPr>
                <w:color w:val="000000"/>
              </w:rPr>
              <w:t xml:space="preserve"> Невинномысске" в 2025 году в сумме 20 198,11 тыс. рублей, в 2026 году </w:t>
            </w:r>
            <w:r>
              <w:rPr>
                <w:color w:val="000000"/>
              </w:rPr>
              <w:br/>
              <w:t xml:space="preserve">в сумме 26 000,00 тыс. рублей и в 2027 году в сумме </w:t>
            </w:r>
            <w:r>
              <w:rPr>
                <w:color w:val="000000"/>
              </w:rPr>
              <w:br/>
              <w:t>26 000,00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jc w:val="both"/>
              <w:rPr>
                <w:color w:val="000000"/>
                <w:highlight w:val="white"/>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5) субсидии в виде имущественного взноса Ставропольского края в автономную некоммерческую организацию дополнительного образования "Детский технопарк "Кванториум" в городе Невинномысске" в 2025 году в сумме </w:t>
            </w:r>
            <w:r>
              <w:rPr>
                <w:color w:val="000000"/>
              </w:rPr>
              <w:br/>
            </w:r>
            <w:r>
              <w:t>19 461,75</w:t>
            </w:r>
            <w:r>
              <w:rPr>
                <w:color w:val="000000"/>
              </w:rPr>
              <w:t xml:space="preserve"> тыс. рублей, в 2026 году в сумме 26 000</w:t>
            </w:r>
            <w:r>
              <w:rPr>
                <w:color w:val="000000"/>
              </w:rPr>
              <w:t>,00 тыс. рублей и в 2027 году в сумме 26 000,00 тыс. рублей;</w:t>
            </w:r>
          </w:p>
        </w:tc>
      </w:tr>
      <w:tr w:rsidR="0038623D">
        <w:tc>
          <w:tcPr>
            <w:tcW w:w="678" w:type="dxa"/>
          </w:tcPr>
          <w:p w:rsidR="0038623D" w:rsidRDefault="00A50649">
            <w:pPr>
              <w:ind w:left="-142" w:right="-86"/>
              <w:jc w:val="center"/>
              <w:rPr>
                <w:highlight w:val="white"/>
              </w:rPr>
            </w:pPr>
            <w:r>
              <w:rPr>
                <w:highlight w:val="white"/>
              </w:rPr>
              <w:t>12.</w:t>
            </w:r>
          </w:p>
        </w:tc>
        <w:tc>
          <w:tcPr>
            <w:tcW w:w="1216" w:type="dxa"/>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4</w:t>
            </w:r>
          </w:p>
          <w:p w:rsidR="0038623D" w:rsidRDefault="00A50649">
            <w:pPr>
              <w:ind w:left="-142" w:right="-86"/>
              <w:jc w:val="center"/>
              <w:rPr>
                <w:highlight w:val="white"/>
                <w:vertAlign w:val="superscript"/>
              </w:rPr>
            </w:pPr>
            <w:r>
              <w:rPr>
                <w:color w:val="000000" w:themeColor="text1"/>
                <w:highlight w:val="white"/>
              </w:rPr>
              <w:t>пункт 8</w:t>
            </w:r>
            <w:r>
              <w:rPr>
                <w:color w:val="000000" w:themeColor="text1"/>
                <w:highlight w:val="white"/>
                <w:vertAlign w:val="superscript"/>
              </w:rPr>
              <w:t>1</w:t>
            </w:r>
          </w:p>
        </w:tc>
        <w:tc>
          <w:tcPr>
            <w:tcW w:w="7158" w:type="dxa"/>
            <w:gridSpan w:val="8"/>
          </w:tcPr>
          <w:p w:rsidR="0038623D" w:rsidRDefault="00A50649">
            <w:pPr>
              <w:pStyle w:val="afa"/>
              <w:spacing w:before="0" w:beforeAutospacing="0" w:after="0" w:afterAutospacing="0" w:line="180" w:lineRule="atLeast"/>
              <w:ind w:firstLine="540"/>
              <w:jc w:val="center"/>
              <w:rPr>
                <w:highlight w:val="white"/>
              </w:rPr>
            </w:pPr>
            <w:r>
              <w:rPr>
                <w:highlight w:val="white"/>
              </w:rPr>
              <w:t>отсутствует</w:t>
            </w:r>
          </w:p>
          <w:p w:rsidR="0038623D" w:rsidRDefault="0038623D">
            <w:pPr>
              <w:ind w:firstLine="559"/>
              <w:jc w:val="center"/>
              <w:rPr>
                <w:highlight w:val="white"/>
              </w:rPr>
            </w:pPr>
          </w:p>
        </w:tc>
        <w:tc>
          <w:tcPr>
            <w:tcW w:w="6683" w:type="dxa"/>
            <w:gridSpan w:val="8"/>
          </w:tcPr>
          <w:p w:rsidR="0038623D" w:rsidRDefault="00A50649">
            <w:pPr>
              <w:pStyle w:val="afa"/>
              <w:spacing w:before="0" w:beforeAutospacing="0" w:after="0" w:afterAutospacing="0" w:line="180" w:lineRule="atLeast"/>
              <w:ind w:firstLine="540"/>
              <w:jc w:val="both"/>
              <w:rPr>
                <w:color w:val="000000" w:themeColor="text1"/>
              </w:rPr>
            </w:pPr>
            <w:r>
              <w:rPr>
                <w:color w:val="000000" w:themeColor="text1"/>
              </w:rPr>
              <w:t>8</w:t>
            </w:r>
            <w:r>
              <w:rPr>
                <w:color w:val="000000" w:themeColor="text1"/>
                <w:vertAlign w:val="superscript"/>
              </w:rPr>
              <w:t>1</w:t>
            </w:r>
            <w:r>
              <w:rPr>
                <w:color w:val="000000" w:themeColor="text1"/>
              </w:rPr>
              <w:t>) субсидии в виде имущественного взноса Ставропольс</w:t>
            </w:r>
            <w:r>
              <w:rPr>
                <w:color w:val="000000"/>
              </w:rPr>
              <w:t xml:space="preserve">кого края в автономную некоммерческую организацию "Центр регионального развития Ставропольского края" </w:t>
            </w:r>
            <w:r>
              <w:rPr>
                <w:color w:val="000000"/>
              </w:rPr>
              <w:br/>
              <w:t>в 2025 году в сумме 10,00 тыс. рублей;</w:t>
            </w:r>
          </w:p>
          <w:p w:rsidR="0038623D" w:rsidRDefault="0038623D">
            <w:pPr>
              <w:pStyle w:val="afa"/>
              <w:spacing w:before="0" w:beforeAutospacing="0" w:after="0" w:afterAutospacing="0" w:line="180" w:lineRule="atLeast"/>
              <w:ind w:firstLine="540"/>
              <w:jc w:val="both"/>
              <w:rPr>
                <w:highlight w:val="white"/>
              </w:rPr>
            </w:pPr>
          </w:p>
        </w:tc>
      </w:tr>
      <w:tr w:rsidR="0038623D">
        <w:trPr>
          <w:trHeight w:val="276"/>
        </w:trPr>
        <w:tc>
          <w:tcPr>
            <w:tcW w:w="678" w:type="dxa"/>
            <w:vMerge w:val="restart"/>
          </w:tcPr>
          <w:p w:rsidR="0038623D" w:rsidRDefault="00A50649">
            <w:pPr>
              <w:ind w:left="-142" w:right="-86"/>
              <w:jc w:val="center"/>
              <w:rPr>
                <w:highlight w:val="white"/>
              </w:rPr>
            </w:pPr>
            <w:r>
              <w:rPr>
                <w:highlight w:val="white"/>
              </w:rPr>
              <w:t>13.</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4</w:t>
            </w:r>
          </w:p>
          <w:p w:rsidR="0038623D" w:rsidRDefault="00A50649">
            <w:pPr>
              <w:ind w:left="-142" w:right="-86"/>
              <w:jc w:val="center"/>
              <w:rPr>
                <w:highlight w:val="white"/>
                <w:vertAlign w:val="superscript"/>
              </w:rPr>
            </w:pPr>
            <w:r>
              <w:rPr>
                <w:highlight w:val="white"/>
              </w:rPr>
              <w:t>пункт 9</w:t>
            </w:r>
            <w:r>
              <w:rPr>
                <w:highlight w:val="white"/>
                <w:vertAlign w:val="superscript"/>
              </w:rPr>
              <w:t>1</w:t>
            </w:r>
          </w:p>
        </w:tc>
        <w:tc>
          <w:tcPr>
            <w:tcW w:w="7158" w:type="dxa"/>
            <w:gridSpan w:val="8"/>
            <w:vMerge w:val="restart"/>
          </w:tcPr>
          <w:p w:rsidR="0038623D" w:rsidRDefault="00A50649">
            <w:pPr>
              <w:jc w:val="center"/>
              <w:rPr>
                <w:highlight w:val="white"/>
              </w:rPr>
            </w:pPr>
            <w:r>
              <w:rPr>
                <w:highlight w:val="white"/>
              </w:rPr>
              <w:t>отсутствует</w:t>
            </w:r>
          </w:p>
          <w:p w:rsidR="0038623D" w:rsidRDefault="0038623D">
            <w:pPr>
              <w:jc w:val="center"/>
              <w:rPr>
                <w:highlight w:val="white"/>
              </w:rPr>
            </w:pPr>
          </w:p>
        </w:tc>
        <w:tc>
          <w:tcPr>
            <w:tcW w:w="6683" w:type="dxa"/>
            <w:gridSpan w:val="8"/>
            <w:vMerge w:val="restart"/>
          </w:tcPr>
          <w:p w:rsidR="0038623D" w:rsidRDefault="00A50649">
            <w:pPr>
              <w:ind w:firstLine="567"/>
              <w:jc w:val="both"/>
              <w:rPr>
                <w:color w:val="000000" w:themeColor="text1"/>
              </w:rPr>
            </w:pPr>
            <w:r>
              <w:rPr>
                <w:color w:val="000000" w:themeColor="text1"/>
              </w:rPr>
              <w:t>9</w:t>
            </w:r>
            <w:r>
              <w:rPr>
                <w:color w:val="000000" w:themeColor="text1"/>
                <w:highlight w:val="white"/>
                <w:vertAlign w:val="superscript"/>
              </w:rPr>
              <w:t>1</w:t>
            </w:r>
            <w:r>
              <w:rPr>
                <w:color w:val="000000" w:themeColor="text1"/>
                <w:highlight w:val="white"/>
              </w:rPr>
              <w:t>) субсидии в виде имущественного взноса Ставропольского края в имущество публично-правовой компании "Фонд развития территорий" в 2025 году в сумме 4 291,52 тыс. рублей;</w:t>
            </w:r>
          </w:p>
        </w:tc>
      </w:tr>
      <w:tr w:rsidR="0038623D">
        <w:trPr>
          <w:trHeight w:val="276"/>
        </w:trPr>
        <w:tc>
          <w:tcPr>
            <w:tcW w:w="678" w:type="dxa"/>
            <w:vMerge w:val="restart"/>
          </w:tcPr>
          <w:p w:rsidR="0038623D" w:rsidRDefault="00A50649">
            <w:pPr>
              <w:ind w:left="-142" w:right="-86"/>
              <w:jc w:val="center"/>
              <w:rPr>
                <w:highlight w:val="white"/>
              </w:rPr>
            </w:pPr>
            <w:r>
              <w:lastRenderedPageBreak/>
              <w:t>14.</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4</w:t>
            </w:r>
          </w:p>
          <w:p w:rsidR="0038623D" w:rsidRDefault="00A50649">
            <w:pPr>
              <w:ind w:left="-142" w:right="-86"/>
              <w:jc w:val="center"/>
              <w:rPr>
                <w:highlight w:val="white"/>
                <w:vertAlign w:val="superscript"/>
              </w:rPr>
            </w:pPr>
            <w:r>
              <w:rPr>
                <w:highlight w:val="white"/>
              </w:rPr>
              <w:t xml:space="preserve">пункт </w:t>
            </w:r>
            <w:r>
              <w:t>11</w:t>
            </w:r>
            <w:r>
              <w:rPr>
                <w:vertAlign w:val="superscript"/>
              </w:rPr>
              <w:t>2</w:t>
            </w:r>
          </w:p>
        </w:tc>
        <w:tc>
          <w:tcPr>
            <w:tcW w:w="7158" w:type="dxa"/>
            <w:gridSpan w:val="8"/>
            <w:vMerge w:val="restart"/>
          </w:tcPr>
          <w:p w:rsidR="0038623D" w:rsidRDefault="00A50649">
            <w:pPr>
              <w:ind w:firstLine="567"/>
              <w:jc w:val="both"/>
              <w:rPr>
                <w:highlight w:val="white"/>
              </w:rPr>
            </w:pPr>
            <w:r>
              <w:t>11</w:t>
            </w:r>
            <w:r>
              <w:rPr>
                <w:vertAlign w:val="superscript"/>
              </w:rPr>
              <w:t>2</w:t>
            </w:r>
            <w:r>
              <w:t>)</w:t>
            </w:r>
            <w:r>
              <w:t xml:space="preserve"> </w:t>
            </w:r>
            <w:r>
              <w:rPr>
                <w:color w:val="000000"/>
              </w:rPr>
              <w:t>с</w:t>
            </w:r>
            <w:r>
              <w:rPr>
                <w:color w:val="000000"/>
              </w:rPr>
              <w:t>убсидии государственному унитарному предприятию  Ставропольского края "Ставрополькрайводоканал" на реализацию мероприятий по модернизации коммунальной инфраструктуры в 2025 году в сумме 387 394,77 тыс. рублей и в2026 году в сумме 255 116,81 тыс. рублей;</w:t>
            </w:r>
          </w:p>
        </w:tc>
        <w:tc>
          <w:tcPr>
            <w:tcW w:w="6683" w:type="dxa"/>
            <w:gridSpan w:val="8"/>
            <w:vMerge w:val="restart"/>
          </w:tcPr>
          <w:p w:rsidR="0038623D" w:rsidRDefault="00A50649">
            <w:pPr>
              <w:ind w:firstLine="567"/>
              <w:jc w:val="both"/>
              <w:rPr>
                <w:color w:val="000000"/>
              </w:rPr>
            </w:pPr>
            <w:r>
              <w:t>11</w:t>
            </w:r>
            <w:r>
              <w:rPr>
                <w:vertAlign w:val="superscript"/>
              </w:rPr>
              <w:t>2</w:t>
            </w:r>
            <w:r>
              <w:t>)</w:t>
            </w:r>
            <w:r>
              <w:t xml:space="preserve"> </w:t>
            </w:r>
            <w:r>
              <w:rPr>
                <w:color w:val="000000"/>
              </w:rPr>
              <w:t xml:space="preserve">субсидии государственному унитарному предприятию Ставропольского края "Ставрополькрайводоканал" на  реализацию мероприятий по модернизации коммунальной  инфраструктуры в 2025 году в сумме </w:t>
            </w:r>
            <w:r>
              <w:rPr>
                <w:color w:val="000000" w:themeColor="text1"/>
                <w:highlight w:val="white"/>
              </w:rPr>
              <w:t>368 374,66</w:t>
            </w:r>
            <w:r>
              <w:rPr>
                <w:color w:val="000000"/>
              </w:rPr>
              <w:t xml:space="preserve"> тыс. рублей и в2026 году в сумме 255 116,81 тыс. рубле</w:t>
            </w:r>
            <w:r>
              <w:rPr>
                <w:color w:val="000000"/>
              </w:rPr>
              <w:t>й;</w:t>
            </w:r>
          </w:p>
          <w:p w:rsidR="0038623D" w:rsidRDefault="0038623D">
            <w:pPr>
              <w:ind w:firstLine="567"/>
              <w:jc w:val="both"/>
              <w:rPr>
                <w:color w:val="000000" w:themeColor="text1"/>
                <w:highlight w:val="white"/>
              </w:rPr>
            </w:pPr>
          </w:p>
        </w:tc>
      </w:tr>
      <w:tr w:rsidR="0038623D">
        <w:trPr>
          <w:trHeight w:val="276"/>
        </w:trPr>
        <w:tc>
          <w:tcPr>
            <w:tcW w:w="678" w:type="dxa"/>
            <w:vMerge w:val="restart"/>
          </w:tcPr>
          <w:p w:rsidR="0038623D" w:rsidRDefault="00A50649">
            <w:pPr>
              <w:ind w:left="-142" w:right="-86"/>
              <w:jc w:val="center"/>
            </w:pPr>
            <w:r>
              <w:t>15.</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4</w:t>
            </w:r>
          </w:p>
          <w:p w:rsidR="0038623D" w:rsidRDefault="00A50649">
            <w:pPr>
              <w:ind w:left="-142" w:right="-86"/>
              <w:jc w:val="center"/>
              <w:rPr>
                <w:highlight w:val="white"/>
              </w:rPr>
            </w:pPr>
            <w:r>
              <w:rPr>
                <w:highlight w:val="white"/>
              </w:rPr>
              <w:t xml:space="preserve">пункт </w:t>
            </w:r>
            <w:r>
              <w:t>13</w:t>
            </w: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13) субсидии государственному унитарному предприятию Ставропольского края "Ставропольский краевой теплоэнергетический комплекс" на осуществление капитальных вложений в объекты капитального строительства государственной со</w:t>
            </w:r>
            <w:r>
              <w:rPr>
                <w:color w:val="000000"/>
              </w:rPr>
              <w:t>бственности Ставропольского края в 2025 году в сумме 428 000,00 тыс. рублей;</w:t>
            </w:r>
          </w:p>
          <w:p w:rsidR="0038623D" w:rsidRDefault="0038623D">
            <w:pPr>
              <w:jc w:val="center"/>
              <w:rPr>
                <w:highlight w:val="white"/>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13) субсидии государственному унитарному предприятию Ставропольского края "Ставропольский краевой теплоэнергетический комплекс" на осуществление капитальных вложений в объекты капитального строительства государственной собственности Ставропольского края </w:t>
            </w:r>
            <w:r>
              <w:rPr>
                <w:color w:val="000000" w:themeColor="text1"/>
                <w:highlight w:val="white"/>
              </w:rPr>
              <w:t xml:space="preserve">в </w:t>
            </w:r>
            <w:r>
              <w:rPr>
                <w:color w:val="000000" w:themeColor="text1"/>
                <w:highlight w:val="white"/>
              </w:rPr>
              <w:t>2026 году</w:t>
            </w:r>
            <w:r>
              <w:rPr>
                <w:color w:val="000000"/>
              </w:rPr>
              <w:t xml:space="preserve"> в сумме 428 000,00 тыс. рублей;</w:t>
            </w:r>
          </w:p>
          <w:p w:rsidR="0038623D" w:rsidRDefault="0038623D">
            <w:pPr>
              <w:ind w:firstLine="567"/>
              <w:jc w:val="both"/>
              <w:rPr>
                <w:color w:val="000000" w:themeColor="text1"/>
                <w:highlight w:val="white"/>
              </w:rPr>
            </w:pPr>
          </w:p>
        </w:tc>
      </w:tr>
      <w:tr w:rsidR="0038623D">
        <w:trPr>
          <w:trHeight w:val="276"/>
        </w:trPr>
        <w:tc>
          <w:tcPr>
            <w:tcW w:w="678" w:type="dxa"/>
            <w:vMerge w:val="restart"/>
          </w:tcPr>
          <w:p w:rsidR="0038623D" w:rsidRDefault="00A50649">
            <w:pPr>
              <w:ind w:left="-142" w:right="-86"/>
              <w:jc w:val="center"/>
              <w:rPr>
                <w:highlight w:val="white"/>
              </w:rPr>
            </w:pPr>
            <w:r>
              <w:rPr>
                <w:highlight w:val="white"/>
              </w:rPr>
              <w:t>16.</w:t>
            </w:r>
          </w:p>
        </w:tc>
        <w:tc>
          <w:tcPr>
            <w:tcW w:w="1216" w:type="dxa"/>
            <w:vMerge w:val="restart"/>
          </w:tcPr>
          <w:p w:rsidR="0038623D" w:rsidRDefault="00A50649">
            <w:pPr>
              <w:ind w:left="-142" w:right="-86"/>
              <w:jc w:val="center"/>
              <w:rPr>
                <w:highlight w:val="white"/>
              </w:rPr>
            </w:pPr>
            <w:r>
              <w:rPr>
                <w:highlight w:val="white"/>
              </w:rPr>
              <w:t>Статья 6</w:t>
            </w:r>
          </w:p>
          <w:p w:rsidR="0038623D" w:rsidRDefault="00A50649">
            <w:pPr>
              <w:ind w:left="-142" w:right="-86"/>
              <w:jc w:val="center"/>
              <w:rPr>
                <w:highlight w:val="white"/>
              </w:rPr>
            </w:pPr>
            <w:r>
              <w:rPr>
                <w:highlight w:val="white"/>
              </w:rPr>
              <w:t>часть 15</w:t>
            </w:r>
          </w:p>
          <w:p w:rsidR="0038623D" w:rsidRDefault="00A50649">
            <w:pPr>
              <w:ind w:left="-142" w:right="-86"/>
              <w:jc w:val="center"/>
              <w:rPr>
                <w:highlight w:val="white"/>
                <w:vertAlign w:val="superscript"/>
              </w:rPr>
            </w:pPr>
            <w:r>
              <w:t>пункт 7</w:t>
            </w:r>
            <w:r>
              <w:rPr>
                <w:vertAlign w:val="superscript"/>
              </w:rPr>
              <w:t>4</w:t>
            </w:r>
          </w:p>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center"/>
              <w:rPr>
                <w:highlight w:val="white"/>
              </w:rPr>
            </w:pPr>
            <w:r>
              <w:rPr>
                <w:color w:val="000000"/>
                <w:highlight w:val="white"/>
              </w:rPr>
              <w:t>отсутствует</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center"/>
              <w:rPr>
                <w:color w:val="000000"/>
                <w:highlight w:val="white"/>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highlight w:val="white"/>
              </w:rPr>
            </w:pPr>
            <w:r>
              <w:t>7</w:t>
            </w:r>
            <w:r>
              <w:rPr>
                <w:vertAlign w:val="superscript"/>
              </w:rPr>
              <w:t>4</w:t>
            </w:r>
            <w:r>
              <w:t xml:space="preserve">) субсидии организациям, осуществляющим регулируемые виды деятельности </w:t>
            </w:r>
            <w:r>
              <w:t>в сфере водоснабжения и (или) водоотведения на финансовое обеспечение части затрат на проведение капитального ремонта объектов коммунальной инфраструктуры в рамках реализации мероприятий по модернизации коммунальной инфраструктуры;</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0"/>
                <w:szCs w:val="20"/>
                <w:highlight w:val="white"/>
              </w:rPr>
            </w:pPr>
          </w:p>
        </w:tc>
      </w:tr>
      <w:tr w:rsidR="0038623D">
        <w:tc>
          <w:tcPr>
            <w:tcW w:w="678" w:type="dxa"/>
          </w:tcPr>
          <w:p w:rsidR="0038623D" w:rsidRDefault="00A50649">
            <w:pPr>
              <w:ind w:left="-142" w:right="-86"/>
              <w:jc w:val="center"/>
              <w:rPr>
                <w:highlight w:val="white"/>
              </w:rPr>
            </w:pPr>
            <w:r>
              <w:rPr>
                <w:highlight w:val="white"/>
              </w:rPr>
              <w:t>17.</w:t>
            </w:r>
          </w:p>
        </w:tc>
        <w:tc>
          <w:tcPr>
            <w:tcW w:w="1216" w:type="dxa"/>
          </w:tcPr>
          <w:p w:rsidR="0038623D" w:rsidRDefault="00A50649">
            <w:pPr>
              <w:ind w:left="-142" w:right="-86"/>
              <w:jc w:val="center"/>
              <w:rPr>
                <w:highlight w:val="white"/>
              </w:rPr>
            </w:pPr>
            <w:r>
              <w:rPr>
                <w:highlight w:val="white"/>
              </w:rPr>
              <w:t>Статья 7</w:t>
            </w:r>
          </w:p>
          <w:p w:rsidR="0038623D" w:rsidRDefault="00A50649">
            <w:pPr>
              <w:ind w:left="-142" w:right="-86"/>
              <w:jc w:val="center"/>
              <w:rPr>
                <w:highlight w:val="white"/>
              </w:rPr>
            </w:pPr>
            <w:r>
              <w:rPr>
                <w:highlight w:val="white"/>
              </w:rPr>
              <w:t>часть 1</w:t>
            </w:r>
          </w:p>
          <w:p w:rsidR="0038623D" w:rsidRDefault="00A50649">
            <w:pPr>
              <w:ind w:left="-142" w:right="-86"/>
              <w:jc w:val="center"/>
              <w:rPr>
                <w:highlight w:val="white"/>
              </w:rPr>
            </w:pPr>
            <w:r>
              <w:rPr>
                <w:highlight w:val="white"/>
              </w:rPr>
              <w:t>абзац первый</w:t>
            </w: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1. Утвердить общий объем следующих межбюджетных трансфертов, предоставляемых другим бюджетам бюджетной системы Российской Федерации, на 2025 год в сумме </w:t>
            </w:r>
            <w:r>
              <w:rPr>
                <w:color w:val="000000"/>
              </w:rPr>
              <w:br/>
              <w:t xml:space="preserve">81 186 568,25 тыс. рублей, на 2026 год в сумме </w:t>
            </w:r>
            <w:r>
              <w:rPr>
                <w:color w:val="000000"/>
              </w:rPr>
              <w:br/>
              <w:t>73 841 625,18 тыс. рублей и на 2027 год в</w:t>
            </w:r>
            <w:r>
              <w:rPr>
                <w:color w:val="000000"/>
              </w:rPr>
              <w:t xml:space="preserve"> сумме </w:t>
            </w:r>
            <w:r>
              <w:rPr>
                <w:color w:val="000000"/>
              </w:rPr>
              <w:br/>
              <w:t>65 764 942,01 тыс. рублей, в том числе:</w:t>
            </w:r>
          </w:p>
          <w:p w:rsidR="0038623D" w:rsidRDefault="0038623D">
            <w:pPr>
              <w:ind w:firstLine="540"/>
              <w:jc w:val="both"/>
              <w:rPr>
                <w:color w:val="000000" w:themeColor="text1"/>
                <w:sz w:val="22"/>
                <w:szCs w:val="22"/>
                <w:highlight w:val="white"/>
              </w:rPr>
            </w:pP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r>
              <w:rPr>
                <w:color w:val="000000"/>
              </w:rPr>
              <w:t xml:space="preserve">1. Утвердить общий объем следующих межбюджетных трансфертов, предоставляемых другим бюджетам бюджетной системы Российской Федерации, на 2025 год в сумме </w:t>
            </w:r>
            <w:r>
              <w:rPr>
                <w:color w:val="000000"/>
              </w:rPr>
              <w:br/>
            </w:r>
            <w:r>
              <w:t>82 452 599,18</w:t>
            </w:r>
            <w:r>
              <w:rPr>
                <w:color w:val="000000"/>
              </w:rPr>
              <w:t xml:space="preserve"> тыс. рублей, на 2026 год в сумме </w:t>
            </w:r>
            <w:r>
              <w:rPr>
                <w:color w:val="000000"/>
              </w:rPr>
              <w:br/>
              <w:t>73 84</w:t>
            </w:r>
            <w:r>
              <w:rPr>
                <w:color w:val="000000"/>
              </w:rPr>
              <w:t xml:space="preserve">1 625,18 тыс. рублей и на 2027 год в сумме </w:t>
            </w:r>
            <w:r>
              <w:rPr>
                <w:color w:val="000000"/>
              </w:rPr>
              <w:br/>
              <w:t>65 764 942,01 тыс. рублей, в том числе:</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sz w:val="22"/>
                <w:szCs w:val="22"/>
              </w:rPr>
            </w:pPr>
          </w:p>
        </w:tc>
      </w:tr>
      <w:tr w:rsidR="0038623D">
        <w:tc>
          <w:tcPr>
            <w:tcW w:w="678" w:type="dxa"/>
          </w:tcPr>
          <w:p w:rsidR="0038623D" w:rsidRDefault="00A50649">
            <w:pPr>
              <w:ind w:left="-142" w:right="-86"/>
              <w:jc w:val="center"/>
              <w:rPr>
                <w:color w:val="000000" w:themeColor="text1"/>
                <w:highlight w:val="white"/>
              </w:rPr>
            </w:pPr>
            <w:r>
              <w:rPr>
                <w:color w:val="000000" w:themeColor="text1"/>
              </w:rPr>
              <w:t>18</w:t>
            </w:r>
            <w:r>
              <w:rPr>
                <w:color w:val="000000" w:themeColor="text1"/>
                <w:highlight w:val="white"/>
              </w:rPr>
              <w:t>.</w:t>
            </w:r>
          </w:p>
        </w:tc>
        <w:tc>
          <w:tcPr>
            <w:tcW w:w="1216" w:type="dxa"/>
          </w:tcPr>
          <w:p w:rsidR="0038623D" w:rsidRDefault="00A50649">
            <w:pPr>
              <w:ind w:left="-142" w:right="-86"/>
              <w:jc w:val="center"/>
              <w:rPr>
                <w:color w:val="000000" w:themeColor="text1"/>
                <w:highlight w:val="white"/>
              </w:rPr>
            </w:pPr>
            <w:r>
              <w:rPr>
                <w:color w:val="000000" w:themeColor="text1"/>
                <w:highlight w:val="white"/>
              </w:rPr>
              <w:t>Статья 7</w:t>
            </w:r>
          </w:p>
          <w:p w:rsidR="0038623D" w:rsidRDefault="00A50649">
            <w:pPr>
              <w:ind w:left="-142" w:right="-86"/>
              <w:jc w:val="center"/>
              <w:rPr>
                <w:color w:val="000000" w:themeColor="text1"/>
                <w:highlight w:val="white"/>
              </w:rPr>
            </w:pPr>
            <w:r>
              <w:rPr>
                <w:color w:val="000000" w:themeColor="text1"/>
                <w:highlight w:val="white"/>
              </w:rPr>
              <w:t>часть 1</w:t>
            </w:r>
          </w:p>
          <w:p w:rsidR="0038623D" w:rsidRDefault="00A50649">
            <w:pPr>
              <w:ind w:left="-142" w:right="-86"/>
              <w:jc w:val="center"/>
              <w:rPr>
                <w:color w:val="000000" w:themeColor="text1"/>
                <w:highlight w:val="white"/>
              </w:rPr>
            </w:pPr>
            <w:r>
              <w:rPr>
                <w:color w:val="000000" w:themeColor="text1"/>
                <w:highlight w:val="white"/>
              </w:rPr>
              <w:t>пункт 4</w:t>
            </w: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4) межбюджетные трансферты местным бюджетам </w:t>
            </w:r>
            <w:r>
              <w:rPr>
                <w:color w:val="000000"/>
              </w:rPr>
              <w:br/>
            </w:r>
            <w:r>
              <w:rPr>
                <w:color w:val="000000"/>
              </w:rPr>
              <w:t xml:space="preserve">на 2025 год в сумме 79 097 499,10 тыс. рублей, на 2026 год в сумме 71 255 220,86 тыс. рублей и на 2027 год в сумме </w:t>
            </w:r>
            <w:r>
              <w:rPr>
                <w:color w:val="000000"/>
              </w:rPr>
              <w:br/>
              <w:t>63 132 587,68 тыс. рублей.</w:t>
            </w: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 xml:space="preserve">4) межбюджетные трансферты местным бюджетам </w:t>
            </w:r>
            <w:r>
              <w:rPr>
                <w:color w:val="000000"/>
              </w:rPr>
              <w:br/>
              <w:t xml:space="preserve">на 2025 год в сумме </w:t>
            </w:r>
            <w:r>
              <w:t>80 360 782,66</w:t>
            </w:r>
            <w:r>
              <w:rPr>
                <w:color w:val="000000"/>
              </w:rPr>
              <w:t xml:space="preserve"> тыс. рублей, на 2026 год </w:t>
            </w:r>
            <w:r>
              <w:rPr>
                <w:color w:val="000000"/>
              </w:rPr>
              <w:br/>
              <w:t xml:space="preserve">в сумме </w:t>
            </w:r>
            <w:r>
              <w:rPr>
                <w:color w:val="000000"/>
              </w:rPr>
              <w:t xml:space="preserve">71 255 220,86 тыс. рублей и на 2027 год </w:t>
            </w:r>
            <w:r>
              <w:rPr>
                <w:color w:val="000000"/>
              </w:rPr>
              <w:br/>
              <w:t>в сумме 63 132 587,68 тыс. рублей.</w:t>
            </w:r>
          </w:p>
        </w:tc>
      </w:tr>
      <w:tr w:rsidR="0038623D">
        <w:tc>
          <w:tcPr>
            <w:tcW w:w="678" w:type="dxa"/>
          </w:tcPr>
          <w:p w:rsidR="0038623D" w:rsidRDefault="00A50649">
            <w:pPr>
              <w:ind w:left="-142" w:right="-86"/>
              <w:jc w:val="center"/>
              <w:rPr>
                <w:color w:val="000000" w:themeColor="text1"/>
                <w:highlight w:val="white"/>
              </w:rPr>
            </w:pPr>
            <w:r>
              <w:rPr>
                <w:color w:val="000000" w:themeColor="text1"/>
              </w:rPr>
              <w:lastRenderedPageBreak/>
              <w:t>19</w:t>
            </w:r>
            <w:r>
              <w:rPr>
                <w:color w:val="000000" w:themeColor="text1"/>
                <w:highlight w:val="white"/>
              </w:rPr>
              <w:t>.</w:t>
            </w:r>
          </w:p>
        </w:tc>
        <w:tc>
          <w:tcPr>
            <w:tcW w:w="1216" w:type="dxa"/>
          </w:tcPr>
          <w:p w:rsidR="0038623D" w:rsidRDefault="00A50649">
            <w:pPr>
              <w:ind w:left="-142" w:right="-86"/>
              <w:jc w:val="center"/>
              <w:rPr>
                <w:color w:val="000000" w:themeColor="text1"/>
                <w:highlight w:val="white"/>
              </w:rPr>
            </w:pPr>
            <w:r>
              <w:rPr>
                <w:color w:val="000000" w:themeColor="text1"/>
                <w:highlight w:val="white"/>
              </w:rPr>
              <w:t>Статья 7</w:t>
            </w:r>
          </w:p>
          <w:p w:rsidR="0038623D" w:rsidRDefault="00A50649">
            <w:pPr>
              <w:ind w:left="-142" w:right="-86"/>
              <w:jc w:val="center"/>
              <w:rPr>
                <w:color w:val="000000" w:themeColor="text1"/>
                <w:highlight w:val="white"/>
              </w:rPr>
            </w:pPr>
            <w:r>
              <w:rPr>
                <w:color w:val="000000" w:themeColor="text1"/>
                <w:highlight w:val="white"/>
              </w:rPr>
              <w:t>часть 1</w:t>
            </w:r>
          </w:p>
          <w:p w:rsidR="0038623D" w:rsidRDefault="00A50649">
            <w:pPr>
              <w:ind w:left="-142" w:right="-86"/>
              <w:jc w:val="center"/>
              <w:rPr>
                <w:color w:val="000000" w:themeColor="text1"/>
                <w:highlight w:val="white"/>
              </w:rPr>
            </w:pPr>
            <w:r>
              <w:rPr>
                <w:color w:val="000000" w:themeColor="text1"/>
                <w:highlight w:val="white"/>
              </w:rPr>
              <w:t>пункт 5</w:t>
            </w:r>
          </w:p>
          <w:p w:rsidR="0038623D" w:rsidRDefault="0038623D">
            <w:pPr>
              <w:ind w:left="-142" w:right="-86"/>
              <w:jc w:val="center"/>
              <w:rPr>
                <w:color w:val="000000" w:themeColor="text1"/>
                <w:highlight w:val="white"/>
              </w:rPr>
            </w:pP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center"/>
              <w:rPr>
                <w:color w:val="000000" w:themeColor="text1"/>
              </w:rPr>
            </w:pPr>
            <w:r>
              <w:rPr>
                <w:color w:val="000000" w:themeColor="text1"/>
              </w:rPr>
              <w:t>отсутствует</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pPr>
            <w:r>
              <w:t xml:space="preserve">5) субсидии бюджету субъекта Российской Федерации на возмещение затрат, связанных с оказанием медицинской помощи при заболеваниях, не </w:t>
            </w:r>
            <w:r>
              <w:t>включенных в базовую программу обязательного медицинского страхования, и паллиативной медицинской помощи, на 2025 год в сумме 2 747,37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r>
      <w:tr w:rsidR="0038623D">
        <w:tc>
          <w:tcPr>
            <w:tcW w:w="678" w:type="dxa"/>
          </w:tcPr>
          <w:p w:rsidR="0038623D" w:rsidRDefault="00A50649">
            <w:pPr>
              <w:ind w:left="-142" w:right="-86"/>
              <w:jc w:val="center"/>
              <w:rPr>
                <w:color w:val="000000" w:themeColor="text1"/>
                <w:highlight w:val="white"/>
              </w:rPr>
            </w:pPr>
            <w:r>
              <w:rPr>
                <w:color w:val="000000" w:themeColor="text1"/>
              </w:rPr>
              <w:t>20</w:t>
            </w:r>
            <w:r>
              <w:rPr>
                <w:color w:val="000000" w:themeColor="text1"/>
                <w:highlight w:val="white"/>
              </w:rPr>
              <w:t>.</w:t>
            </w:r>
          </w:p>
        </w:tc>
        <w:tc>
          <w:tcPr>
            <w:tcW w:w="1216" w:type="dxa"/>
          </w:tcPr>
          <w:p w:rsidR="0038623D" w:rsidRDefault="00A50649">
            <w:pPr>
              <w:ind w:left="-142" w:right="-86"/>
              <w:jc w:val="center"/>
              <w:rPr>
                <w:color w:val="000000" w:themeColor="text1"/>
                <w:highlight w:val="white"/>
              </w:rPr>
            </w:pPr>
            <w:r>
              <w:rPr>
                <w:color w:val="000000" w:themeColor="text1"/>
                <w:highlight w:val="white"/>
              </w:rPr>
              <w:t>Статья 10</w:t>
            </w:r>
          </w:p>
          <w:p w:rsidR="0038623D" w:rsidRDefault="00A50649">
            <w:pPr>
              <w:ind w:left="-142" w:right="-86"/>
              <w:jc w:val="center"/>
              <w:rPr>
                <w:color w:val="000000" w:themeColor="text1"/>
                <w:highlight w:val="white"/>
              </w:rPr>
            </w:pPr>
            <w:r>
              <w:rPr>
                <w:color w:val="000000" w:themeColor="text1"/>
                <w:highlight w:val="white"/>
              </w:rPr>
              <w:t>часть 3</w:t>
            </w:r>
          </w:p>
        </w:tc>
        <w:tc>
          <w:tcPr>
            <w:tcW w:w="7158" w:type="dxa"/>
            <w:gridSpan w:val="8"/>
          </w:tcPr>
          <w:p w:rsidR="0038623D" w:rsidRDefault="00A50649">
            <w:pPr>
              <w:pBdr>
                <w:top w:val="none" w:sz="4" w:space="0" w:color="000000"/>
                <w:left w:val="none" w:sz="4" w:space="0" w:color="000000"/>
                <w:bottom w:val="none" w:sz="4" w:space="0" w:color="000000"/>
                <w:right w:val="none" w:sz="4" w:space="0" w:color="000000"/>
              </w:pBdr>
              <w:ind w:firstLine="539"/>
              <w:jc w:val="both"/>
            </w:pPr>
            <w:r>
              <w:rPr>
                <w:color w:val="000000"/>
              </w:rPr>
              <w:t xml:space="preserve">3. Утвердить объем расходов на обслуживание государственного долга Ставропольского края в 2025 году в сумме </w:t>
            </w:r>
            <w:r>
              <w:rPr>
                <w:color w:val="000000"/>
              </w:rPr>
              <w:br/>
              <w:t>814 480,60 тыс. рублей, в 2026 году в сумме 1 241 934,94 тыс. рублей и в 2027 году в сумме 1 239 885,40 тыс. рублей, из них на:</w:t>
            </w:r>
            <w:r>
              <w:rPr>
                <w:color w:val="000000"/>
              </w:rPr>
              <w:br/>
              <w:t>1) уплату процентов</w:t>
            </w:r>
            <w:r>
              <w:rPr>
                <w:color w:val="000000"/>
              </w:rPr>
              <w:t xml:space="preserve"> по реструктурированной задолженности по бюджетным кредитам, предоставленным краевому бюджету из федерального бюджета для частичного покрытия дефицита краевого бюджета, в 2025 году в сумме 11 597,73 тыс. рублей, в 2026 году в сумме 9 407,72 тыс. рублей и в</w:t>
            </w:r>
            <w:r>
              <w:rPr>
                <w:color w:val="000000"/>
              </w:rPr>
              <w:t xml:space="preserve"> 2027 году в сумме </w:t>
            </w:r>
            <w:r>
              <w:rPr>
                <w:color w:val="000000"/>
              </w:rPr>
              <w:br/>
              <w:t>7 205,65 тыс. рублей;</w:t>
            </w:r>
          </w:p>
          <w:p w:rsidR="0038623D" w:rsidRDefault="00A50649">
            <w:pPr>
              <w:pBdr>
                <w:top w:val="none" w:sz="4" w:space="0" w:color="000000"/>
                <w:left w:val="none" w:sz="4" w:space="0" w:color="000000"/>
                <w:bottom w:val="none" w:sz="4" w:space="0" w:color="000000"/>
                <w:right w:val="none" w:sz="4" w:space="0" w:color="000000"/>
              </w:pBdr>
              <w:ind w:firstLine="540"/>
              <w:jc w:val="both"/>
            </w:pPr>
            <w:r>
              <w:rPr>
                <w:color w:val="000000"/>
              </w:rPr>
              <w:t>2) уплату процентов по реструктурированной задолженности по бюджетному кредиту, предоставленному краевому бюджету из федерального бюджета для погашения бюджетных кредитов на пополнение остатков средств на счетах бюджетов субъектов Российской Федерации, в 2</w:t>
            </w:r>
            <w:r>
              <w:rPr>
                <w:color w:val="000000"/>
              </w:rPr>
              <w:t xml:space="preserve">025 году в сумме 4 177,67 тыс. рублей, </w:t>
            </w:r>
            <w:r>
              <w:rPr>
                <w:color w:val="000000"/>
              </w:rPr>
              <w:br/>
              <w:t>в 2026 году в сумме 3382,05 тыс. рублей и в 2027 году в сумме 2 582,05 тыс. рублей.</w:t>
            </w:r>
          </w:p>
          <w:p w:rsidR="0038623D" w:rsidRDefault="0038623D">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p>
        </w:tc>
        <w:tc>
          <w:tcPr>
            <w:tcW w:w="6683" w:type="dxa"/>
            <w:gridSpan w:val="8"/>
          </w:tcPr>
          <w:p w:rsidR="0038623D" w:rsidRDefault="00A50649">
            <w:pPr>
              <w:pBdr>
                <w:top w:val="none" w:sz="4" w:space="0" w:color="000000"/>
                <w:left w:val="none" w:sz="4" w:space="0" w:color="000000"/>
                <w:bottom w:val="none" w:sz="4" w:space="0" w:color="000000"/>
                <w:right w:val="none" w:sz="4" w:space="0" w:color="000000"/>
              </w:pBdr>
              <w:spacing w:line="288" w:lineRule="atLeast"/>
              <w:ind w:firstLine="540"/>
              <w:jc w:val="both"/>
              <w:rPr>
                <w:color w:val="000000" w:themeColor="text1"/>
                <w:highlight w:val="white"/>
              </w:rPr>
            </w:pPr>
            <w:r>
              <w:t>3. Утвердить объем расходов на обслуживание государственного долга Ставропольского края в 2025 году в сумме 482 825,77 тыс. рублей,</w:t>
            </w:r>
            <w:r>
              <w:t xml:space="preserve"> в 2026 году в сумме </w:t>
            </w:r>
            <w:r>
              <w:br/>
              <w:t xml:space="preserve">1 241 934,94 тыс. рублей и в 2027 году в сумме </w:t>
            </w:r>
            <w:r>
              <w:br/>
              <w:t>1 239 885,40 тыс. рублей.</w:t>
            </w:r>
          </w:p>
        </w:tc>
      </w:tr>
      <w:tr w:rsidR="0038623D">
        <w:trPr>
          <w:trHeight w:val="276"/>
        </w:trPr>
        <w:tc>
          <w:tcPr>
            <w:tcW w:w="678" w:type="dxa"/>
            <w:vMerge w:val="restart"/>
          </w:tcPr>
          <w:p w:rsidR="0038623D" w:rsidRDefault="00A50649">
            <w:pPr>
              <w:jc w:val="center"/>
              <w:rPr>
                <w:highlight w:val="white"/>
              </w:rPr>
            </w:pPr>
            <w:r>
              <w:t>21.</w:t>
            </w:r>
          </w:p>
          <w:p w:rsidR="0038623D" w:rsidRDefault="0038623D">
            <w:pPr>
              <w:jc w:val="center"/>
              <w:rPr>
                <w:highlight w:val="white"/>
              </w:rPr>
            </w:pPr>
          </w:p>
          <w:p w:rsidR="0038623D" w:rsidRDefault="0038623D">
            <w:pPr>
              <w:rPr>
                <w:highlight w:val="white"/>
              </w:rPr>
            </w:pPr>
          </w:p>
        </w:tc>
        <w:tc>
          <w:tcPr>
            <w:tcW w:w="1216" w:type="dxa"/>
            <w:vMerge w:val="restart"/>
          </w:tcPr>
          <w:p w:rsidR="0038623D" w:rsidRDefault="00A50649">
            <w:pPr>
              <w:jc w:val="both"/>
              <w:rPr>
                <w:highlight w:val="white"/>
              </w:rPr>
            </w:pPr>
            <w:r>
              <w:rPr>
                <w:highlight w:val="white"/>
              </w:rPr>
              <w:t xml:space="preserve">Приложение 12 таблица </w:t>
            </w:r>
            <w:r>
              <w:t>3</w:t>
            </w:r>
          </w:p>
        </w:tc>
        <w:tc>
          <w:tcPr>
            <w:tcW w:w="918" w:type="dxa"/>
            <w:vMerge w:val="restart"/>
          </w:tcPr>
          <w:p w:rsidR="0038623D" w:rsidRDefault="00A50649">
            <w:pPr>
              <w:tabs>
                <w:tab w:val="left" w:pos="2835"/>
              </w:tabs>
              <w:jc w:val="center"/>
              <w:rPr>
                <w:highlight w:val="white"/>
              </w:rPr>
            </w:pPr>
            <w:r>
              <w:rPr>
                <w:highlight w:val="white"/>
              </w:rPr>
              <w:t>1</w:t>
            </w:r>
          </w:p>
        </w:tc>
        <w:tc>
          <w:tcPr>
            <w:tcW w:w="992" w:type="dxa"/>
            <w:vMerge w:val="restart"/>
          </w:tcPr>
          <w:p w:rsidR="0038623D" w:rsidRDefault="00A50649">
            <w:pPr>
              <w:tabs>
                <w:tab w:val="left" w:pos="2835"/>
              </w:tabs>
              <w:jc w:val="center"/>
              <w:rPr>
                <w:highlight w:val="white"/>
              </w:rPr>
            </w:pPr>
            <w:r>
              <w:rPr>
                <w:highlight w:val="white"/>
              </w:rPr>
              <w:t>2</w:t>
            </w:r>
          </w:p>
        </w:tc>
        <w:tc>
          <w:tcPr>
            <w:tcW w:w="992" w:type="dxa"/>
            <w:vMerge w:val="restart"/>
          </w:tcPr>
          <w:p w:rsidR="0038623D" w:rsidRDefault="00A50649">
            <w:pPr>
              <w:tabs>
                <w:tab w:val="left" w:pos="2835"/>
              </w:tabs>
              <w:jc w:val="center"/>
              <w:rPr>
                <w:highlight w:val="white"/>
              </w:rPr>
            </w:pPr>
            <w:r>
              <w:rPr>
                <w:highlight w:val="white"/>
              </w:rPr>
              <w:t>3</w:t>
            </w:r>
          </w:p>
        </w:tc>
        <w:tc>
          <w:tcPr>
            <w:tcW w:w="992" w:type="dxa"/>
            <w:vMerge w:val="restart"/>
          </w:tcPr>
          <w:p w:rsidR="0038623D" w:rsidRDefault="00A50649">
            <w:pPr>
              <w:tabs>
                <w:tab w:val="left" w:pos="2835"/>
              </w:tabs>
              <w:jc w:val="center"/>
              <w:rPr>
                <w:highlight w:val="white"/>
              </w:rPr>
            </w:pPr>
            <w:r>
              <w:rPr>
                <w:highlight w:val="white"/>
              </w:rPr>
              <w:t>4</w:t>
            </w:r>
          </w:p>
        </w:tc>
        <w:tc>
          <w:tcPr>
            <w:tcW w:w="1134" w:type="dxa"/>
            <w:vMerge w:val="restart"/>
          </w:tcPr>
          <w:p w:rsidR="0038623D" w:rsidRDefault="00A50649">
            <w:pPr>
              <w:tabs>
                <w:tab w:val="left" w:pos="2835"/>
              </w:tabs>
              <w:jc w:val="center"/>
              <w:rPr>
                <w:highlight w:val="white"/>
              </w:rPr>
            </w:pPr>
            <w:r>
              <w:t>5</w:t>
            </w:r>
          </w:p>
        </w:tc>
        <w:tc>
          <w:tcPr>
            <w:tcW w:w="567" w:type="dxa"/>
            <w:vMerge w:val="restart"/>
          </w:tcPr>
          <w:p w:rsidR="0038623D" w:rsidRDefault="00A50649">
            <w:pPr>
              <w:tabs>
                <w:tab w:val="left" w:pos="2835"/>
              </w:tabs>
              <w:jc w:val="center"/>
              <w:rPr>
                <w:highlight w:val="white"/>
              </w:rPr>
            </w:pPr>
            <w:r>
              <w:t>6</w:t>
            </w:r>
          </w:p>
        </w:tc>
        <w:tc>
          <w:tcPr>
            <w:tcW w:w="850" w:type="dxa"/>
            <w:vMerge w:val="restart"/>
          </w:tcPr>
          <w:p w:rsidR="0038623D" w:rsidRDefault="00A50649">
            <w:pPr>
              <w:tabs>
                <w:tab w:val="left" w:pos="2835"/>
              </w:tabs>
              <w:jc w:val="center"/>
              <w:rPr>
                <w:highlight w:val="white"/>
              </w:rPr>
            </w:pPr>
            <w:r>
              <w:t>7</w:t>
            </w:r>
          </w:p>
        </w:tc>
        <w:tc>
          <w:tcPr>
            <w:tcW w:w="712" w:type="dxa"/>
            <w:vMerge w:val="restart"/>
          </w:tcPr>
          <w:p w:rsidR="0038623D" w:rsidRDefault="00A50649">
            <w:pPr>
              <w:tabs>
                <w:tab w:val="left" w:pos="2835"/>
              </w:tabs>
              <w:jc w:val="center"/>
              <w:rPr>
                <w:highlight w:val="white"/>
              </w:rPr>
            </w:pPr>
            <w:r>
              <w:t>8</w:t>
            </w:r>
          </w:p>
        </w:tc>
        <w:tc>
          <w:tcPr>
            <w:tcW w:w="847" w:type="dxa"/>
            <w:vMerge w:val="restart"/>
          </w:tcPr>
          <w:p w:rsidR="0038623D" w:rsidRDefault="00A50649">
            <w:pPr>
              <w:tabs>
                <w:tab w:val="left" w:pos="2551"/>
              </w:tabs>
              <w:ind w:right="-108"/>
              <w:jc w:val="center"/>
              <w:rPr>
                <w:highlight w:val="white"/>
              </w:rPr>
            </w:pPr>
            <w:r>
              <w:rPr>
                <w:highlight w:val="white"/>
              </w:rPr>
              <w:t>1</w:t>
            </w:r>
          </w:p>
        </w:tc>
        <w:tc>
          <w:tcPr>
            <w:tcW w:w="935" w:type="dxa"/>
            <w:vMerge w:val="restart"/>
          </w:tcPr>
          <w:p w:rsidR="0038623D" w:rsidRDefault="00A50649">
            <w:pPr>
              <w:tabs>
                <w:tab w:val="left" w:pos="2551"/>
              </w:tabs>
              <w:ind w:right="-108"/>
              <w:jc w:val="center"/>
              <w:rPr>
                <w:highlight w:val="white"/>
              </w:rPr>
            </w:pPr>
            <w:r>
              <w:rPr>
                <w:highlight w:val="white"/>
              </w:rPr>
              <w:t>2</w:t>
            </w:r>
          </w:p>
        </w:tc>
        <w:tc>
          <w:tcPr>
            <w:tcW w:w="907" w:type="dxa"/>
            <w:vMerge w:val="restart"/>
          </w:tcPr>
          <w:p w:rsidR="0038623D" w:rsidRDefault="00A50649">
            <w:pPr>
              <w:tabs>
                <w:tab w:val="left" w:pos="2551"/>
              </w:tabs>
              <w:ind w:right="-108"/>
              <w:jc w:val="center"/>
              <w:rPr>
                <w:highlight w:val="white"/>
              </w:rPr>
            </w:pPr>
            <w:r>
              <w:rPr>
                <w:highlight w:val="white"/>
              </w:rPr>
              <w:t>3</w:t>
            </w:r>
          </w:p>
        </w:tc>
        <w:tc>
          <w:tcPr>
            <w:tcW w:w="992" w:type="dxa"/>
            <w:vMerge w:val="restart"/>
          </w:tcPr>
          <w:p w:rsidR="0038623D" w:rsidRDefault="00A50649">
            <w:pPr>
              <w:tabs>
                <w:tab w:val="left" w:pos="2551"/>
              </w:tabs>
              <w:ind w:right="-108"/>
              <w:jc w:val="center"/>
              <w:rPr>
                <w:highlight w:val="white"/>
              </w:rPr>
            </w:pPr>
            <w:r>
              <w:rPr>
                <w:highlight w:val="white"/>
              </w:rPr>
              <w:t>4</w:t>
            </w:r>
          </w:p>
        </w:tc>
        <w:tc>
          <w:tcPr>
            <w:tcW w:w="850" w:type="dxa"/>
            <w:vMerge w:val="restart"/>
          </w:tcPr>
          <w:p w:rsidR="0038623D" w:rsidRDefault="00A50649">
            <w:pPr>
              <w:tabs>
                <w:tab w:val="left" w:pos="2551"/>
              </w:tabs>
              <w:ind w:right="-108"/>
              <w:jc w:val="center"/>
              <w:rPr>
                <w:highlight w:val="white"/>
              </w:rPr>
            </w:pPr>
            <w:r>
              <w:t>5</w:t>
            </w:r>
          </w:p>
        </w:tc>
        <w:tc>
          <w:tcPr>
            <w:tcW w:w="709" w:type="dxa"/>
            <w:vMerge w:val="restart"/>
          </w:tcPr>
          <w:p w:rsidR="0038623D" w:rsidRDefault="00A50649">
            <w:pPr>
              <w:tabs>
                <w:tab w:val="left" w:pos="2551"/>
              </w:tabs>
              <w:ind w:right="-108"/>
              <w:jc w:val="center"/>
              <w:rPr>
                <w:highlight w:val="white"/>
              </w:rPr>
            </w:pPr>
            <w:r>
              <w:t>6</w:t>
            </w:r>
          </w:p>
        </w:tc>
        <w:tc>
          <w:tcPr>
            <w:tcW w:w="709" w:type="dxa"/>
            <w:vMerge w:val="restart"/>
          </w:tcPr>
          <w:p w:rsidR="0038623D" w:rsidRDefault="00A50649">
            <w:pPr>
              <w:tabs>
                <w:tab w:val="left" w:pos="2551"/>
              </w:tabs>
              <w:ind w:right="-108"/>
              <w:jc w:val="center"/>
              <w:rPr>
                <w:highlight w:val="white"/>
              </w:rPr>
            </w:pPr>
            <w:r>
              <w:t>7</w:t>
            </w:r>
          </w:p>
        </w:tc>
        <w:tc>
          <w:tcPr>
            <w:tcW w:w="733" w:type="dxa"/>
            <w:vMerge w:val="restart"/>
          </w:tcPr>
          <w:p w:rsidR="0038623D" w:rsidRDefault="00A50649">
            <w:pPr>
              <w:tabs>
                <w:tab w:val="left" w:pos="2551"/>
              </w:tabs>
              <w:ind w:right="-108"/>
              <w:jc w:val="center"/>
              <w:rPr>
                <w:highlight w:val="white"/>
              </w:rPr>
            </w:pPr>
            <w:r>
              <w:t>8</w:t>
            </w:r>
          </w:p>
        </w:tc>
      </w:tr>
      <w:tr w:rsidR="0038623D">
        <w:trPr>
          <w:trHeight w:val="422"/>
        </w:trPr>
        <w:tc>
          <w:tcPr>
            <w:tcW w:w="678" w:type="dxa"/>
            <w:vMerge/>
          </w:tcPr>
          <w:p w:rsidR="0038623D" w:rsidRDefault="0038623D"/>
        </w:tc>
        <w:tc>
          <w:tcPr>
            <w:tcW w:w="1216" w:type="dxa"/>
            <w:vMerge/>
          </w:tcPr>
          <w:p w:rsidR="0038623D" w:rsidRDefault="0038623D">
            <w:pPr>
              <w:jc w:val="both"/>
              <w:rPr>
                <w:highlight w:val="white"/>
              </w:rPr>
            </w:pPr>
          </w:p>
        </w:tc>
        <w:tc>
          <w:tcPr>
            <w:tcW w:w="918"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Город-курорт Кисловодск</w:t>
            </w:r>
            <w:r>
              <w:rPr>
                <w:color w:val="000000"/>
              </w:rPr>
              <w:br/>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pacing w:val="-11"/>
                <w:sz w:val="16"/>
                <w:szCs w:val="16"/>
              </w:rPr>
            </w:pPr>
            <w:r>
              <w:rPr>
                <w:color w:val="000000"/>
                <w:spacing w:val="-11"/>
                <w:sz w:val="20"/>
                <w:szCs w:val="20"/>
              </w:rPr>
              <w:t>95 570,43</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pacing w:val="-11"/>
                <w:sz w:val="16"/>
                <w:szCs w:val="16"/>
              </w:rPr>
            </w:pPr>
            <w:r>
              <w:rPr>
                <w:color w:val="000000"/>
                <w:spacing w:val="-11"/>
                <w:sz w:val="20"/>
                <w:szCs w:val="20"/>
              </w:rPr>
              <w:t>95 570,43</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16"/>
                <w:szCs w:val="16"/>
              </w:rPr>
            </w:pPr>
            <w:r>
              <w:rPr>
                <w:color w:val="000000"/>
                <w:spacing w:val="-11"/>
                <w:sz w:val="20"/>
                <w:szCs w:val="20"/>
              </w:rPr>
              <w:t>68 827,70</w:t>
            </w:r>
          </w:p>
        </w:tc>
        <w:tc>
          <w:tcPr>
            <w:tcW w:w="1134"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pacing w:val="-11"/>
                <w:sz w:val="16"/>
                <w:szCs w:val="16"/>
              </w:rPr>
            </w:pPr>
            <w:r>
              <w:rPr>
                <w:color w:val="000000"/>
                <w:spacing w:val="-17"/>
                <w:sz w:val="20"/>
                <w:szCs w:val="20"/>
              </w:rPr>
              <w:t>2 070 037,58</w:t>
            </w:r>
          </w:p>
        </w:tc>
        <w:tc>
          <w:tcPr>
            <w:tcW w:w="56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16"/>
                <w:szCs w:val="16"/>
              </w:rPr>
            </w:pPr>
            <w:r>
              <w:rPr>
                <w:color w:val="000000"/>
                <w:sz w:val="20"/>
                <w:szCs w:val="20"/>
              </w:rPr>
              <w:t>0,00</w:t>
            </w:r>
          </w:p>
        </w:tc>
        <w:tc>
          <w:tcPr>
            <w:tcW w:w="850"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pacing w:val="-11"/>
                <w:sz w:val="16"/>
                <w:szCs w:val="16"/>
              </w:rPr>
            </w:pPr>
            <w:r>
              <w:rPr>
                <w:color w:val="000000"/>
                <w:spacing w:val="-11"/>
                <w:sz w:val="20"/>
                <w:szCs w:val="20"/>
              </w:rPr>
              <w:t>115 590,50</w:t>
            </w:r>
          </w:p>
        </w:tc>
        <w:tc>
          <w:tcPr>
            <w:tcW w:w="71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pacing w:val="-17"/>
                <w:sz w:val="16"/>
                <w:szCs w:val="16"/>
              </w:rPr>
            </w:pPr>
            <w:r>
              <w:rPr>
                <w:color w:val="000000"/>
                <w:spacing w:val="-17"/>
                <w:sz w:val="20"/>
                <w:szCs w:val="20"/>
              </w:rPr>
              <w:t>312 447,00</w:t>
            </w:r>
          </w:p>
        </w:tc>
        <w:tc>
          <w:tcPr>
            <w:tcW w:w="84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Город-курорт Кисло</w:t>
            </w:r>
            <w:r>
              <w:rPr>
                <w:color w:val="000000"/>
              </w:rPr>
              <w:lastRenderedPageBreak/>
              <w:t>водск</w:t>
            </w:r>
          </w:p>
        </w:tc>
        <w:tc>
          <w:tcPr>
            <w:tcW w:w="935"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pacing w:val="-11"/>
                <w:sz w:val="16"/>
                <w:szCs w:val="16"/>
              </w:rPr>
            </w:pPr>
            <w:r>
              <w:rPr>
                <w:color w:val="000000"/>
                <w:spacing w:val="-11"/>
                <w:sz w:val="20"/>
                <w:szCs w:val="20"/>
              </w:rPr>
              <w:lastRenderedPageBreak/>
              <w:t>95 570,43</w:t>
            </w:r>
          </w:p>
        </w:tc>
        <w:tc>
          <w:tcPr>
            <w:tcW w:w="90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95 570,43</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68 733,16</w:t>
            </w:r>
          </w:p>
        </w:tc>
        <w:tc>
          <w:tcPr>
            <w:tcW w:w="850"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2 070 037,58</w:t>
            </w:r>
          </w:p>
        </w:tc>
        <w:tc>
          <w:tcPr>
            <w:tcW w:w="709"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0,00</w:t>
            </w:r>
          </w:p>
        </w:tc>
        <w:tc>
          <w:tcPr>
            <w:tcW w:w="709"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115 590,50</w:t>
            </w:r>
          </w:p>
        </w:tc>
        <w:tc>
          <w:tcPr>
            <w:tcW w:w="733"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312 447,00</w:t>
            </w:r>
          </w:p>
        </w:tc>
      </w:tr>
      <w:tr w:rsidR="0038623D">
        <w:trPr>
          <w:trHeight w:val="729"/>
        </w:trPr>
        <w:tc>
          <w:tcPr>
            <w:tcW w:w="678" w:type="dxa"/>
            <w:vMerge/>
          </w:tcPr>
          <w:p w:rsidR="0038623D" w:rsidRDefault="0038623D"/>
        </w:tc>
        <w:tc>
          <w:tcPr>
            <w:tcW w:w="1216" w:type="dxa"/>
            <w:vMerge/>
          </w:tcPr>
          <w:p w:rsidR="0038623D" w:rsidRDefault="0038623D">
            <w:pPr>
              <w:jc w:val="both"/>
              <w:rPr>
                <w:highlight w:val="white"/>
              </w:rPr>
            </w:pPr>
          </w:p>
        </w:tc>
        <w:tc>
          <w:tcPr>
            <w:tcW w:w="918"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rPr>
                <w:sz w:val="16"/>
                <w:szCs w:val="16"/>
              </w:rPr>
            </w:pPr>
            <w:r>
              <w:rPr>
                <w:color w:val="000000"/>
                <w:sz w:val="20"/>
                <w:szCs w:val="20"/>
              </w:rPr>
              <w:t>Итого</w:t>
            </w:r>
            <w:r>
              <w:rPr>
                <w:color w:val="000000"/>
                <w:sz w:val="20"/>
                <w:szCs w:val="20"/>
              </w:rPr>
              <w:br/>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259 809,41</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pacing w:val="-6"/>
                <w:sz w:val="16"/>
                <w:szCs w:val="16"/>
              </w:rPr>
            </w:pPr>
            <w:r>
              <w:rPr>
                <w:color w:val="000000"/>
                <w:spacing w:val="-6"/>
                <w:sz w:val="20"/>
                <w:szCs w:val="20"/>
              </w:rPr>
              <w:t>95 570,43</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pacing w:val="-6"/>
                <w:sz w:val="16"/>
                <w:szCs w:val="16"/>
              </w:rPr>
            </w:pPr>
            <w:r>
              <w:rPr>
                <w:color w:val="000000"/>
                <w:spacing w:val="-6"/>
                <w:sz w:val="20"/>
                <w:szCs w:val="20"/>
              </w:rPr>
              <w:t>68 827,70</w:t>
            </w:r>
          </w:p>
        </w:tc>
        <w:tc>
          <w:tcPr>
            <w:tcW w:w="1134"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pacing w:val="-6"/>
                <w:sz w:val="16"/>
                <w:szCs w:val="16"/>
              </w:rPr>
            </w:pPr>
            <w:r>
              <w:rPr>
                <w:color w:val="000000"/>
                <w:spacing w:val="-6"/>
                <w:sz w:val="20"/>
                <w:szCs w:val="20"/>
              </w:rPr>
              <w:t>2 070 037,58</w:t>
            </w:r>
          </w:p>
        </w:tc>
        <w:tc>
          <w:tcPr>
            <w:tcW w:w="56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380 174,17</w:t>
            </w:r>
          </w:p>
        </w:tc>
        <w:tc>
          <w:tcPr>
            <w:tcW w:w="850"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115 590,50</w:t>
            </w:r>
          </w:p>
        </w:tc>
        <w:tc>
          <w:tcPr>
            <w:tcW w:w="71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312 447,00</w:t>
            </w:r>
          </w:p>
        </w:tc>
        <w:tc>
          <w:tcPr>
            <w:tcW w:w="84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rPr>
                <w:sz w:val="16"/>
                <w:szCs w:val="16"/>
              </w:rPr>
            </w:pPr>
            <w:r>
              <w:rPr>
                <w:color w:val="000000"/>
                <w:sz w:val="20"/>
                <w:szCs w:val="20"/>
              </w:rPr>
              <w:t>Итого</w:t>
            </w:r>
            <w:r>
              <w:rPr>
                <w:color w:val="000000"/>
                <w:sz w:val="20"/>
                <w:szCs w:val="20"/>
              </w:rPr>
              <w:br/>
            </w:r>
          </w:p>
        </w:tc>
        <w:tc>
          <w:tcPr>
            <w:tcW w:w="935"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259 809,41</w:t>
            </w:r>
          </w:p>
        </w:tc>
        <w:tc>
          <w:tcPr>
            <w:tcW w:w="90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pacing w:val="-11"/>
                <w:sz w:val="20"/>
                <w:szCs w:val="20"/>
              </w:rPr>
              <w:t>95 570,43</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68 733,16</w:t>
            </w:r>
          </w:p>
        </w:tc>
        <w:tc>
          <w:tcPr>
            <w:tcW w:w="850"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2 070 037,58</w:t>
            </w:r>
          </w:p>
        </w:tc>
        <w:tc>
          <w:tcPr>
            <w:tcW w:w="709"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380 174,17</w:t>
            </w:r>
          </w:p>
        </w:tc>
        <w:tc>
          <w:tcPr>
            <w:tcW w:w="709"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115 590,50</w:t>
            </w:r>
          </w:p>
        </w:tc>
        <w:tc>
          <w:tcPr>
            <w:tcW w:w="733"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sz w:val="16"/>
                <w:szCs w:val="16"/>
              </w:rPr>
            </w:pPr>
            <w:r>
              <w:rPr>
                <w:color w:val="000000"/>
                <w:sz w:val="20"/>
                <w:szCs w:val="20"/>
              </w:rPr>
              <w:t>312 447,00</w:t>
            </w:r>
          </w:p>
        </w:tc>
      </w:tr>
      <w:tr w:rsidR="0038623D">
        <w:trPr>
          <w:trHeight w:val="394"/>
        </w:trPr>
        <w:tc>
          <w:tcPr>
            <w:tcW w:w="678" w:type="dxa"/>
            <w:vMerge w:val="restart"/>
          </w:tcPr>
          <w:p w:rsidR="0038623D" w:rsidRDefault="00A50649">
            <w:r>
              <w:t>22.</w:t>
            </w:r>
          </w:p>
          <w:p w:rsidR="0038623D" w:rsidRDefault="0038623D"/>
        </w:tc>
        <w:tc>
          <w:tcPr>
            <w:tcW w:w="1216" w:type="dxa"/>
            <w:vMerge w:val="restart"/>
          </w:tcPr>
          <w:p w:rsidR="0038623D" w:rsidRDefault="00A50649">
            <w:pPr>
              <w:jc w:val="both"/>
              <w:rPr>
                <w:highlight w:val="white"/>
              </w:rPr>
            </w:pPr>
            <w:r>
              <w:rPr>
                <w:highlight w:val="white"/>
              </w:rPr>
              <w:t xml:space="preserve">Приложение 12 таблица </w:t>
            </w:r>
            <w:r>
              <w:t>28</w:t>
            </w:r>
          </w:p>
          <w:p w:rsidR="0038623D" w:rsidRDefault="0038623D">
            <w:pPr>
              <w:jc w:val="both"/>
              <w:rPr>
                <w:highlight w:val="white"/>
              </w:rPr>
            </w:pPr>
          </w:p>
          <w:p w:rsidR="0038623D" w:rsidRDefault="0038623D">
            <w:pPr>
              <w:jc w:val="both"/>
              <w:rPr>
                <w:highlight w:val="white"/>
              </w:rPr>
            </w:pPr>
          </w:p>
        </w:tc>
        <w:tc>
          <w:tcPr>
            <w:tcW w:w="7158" w:type="dxa"/>
            <w:gridSpan w:val="8"/>
            <w:vMerge w:val="restart"/>
          </w:tcPr>
          <w:p w:rsidR="0038623D" w:rsidRDefault="00A50649">
            <w:pPr>
              <w:jc w:val="center"/>
            </w:pPr>
            <w:r>
              <w:t>6</w:t>
            </w: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center"/>
              <w:rPr>
                <w:color w:val="000000"/>
              </w:rPr>
            </w:pPr>
            <w:r>
              <w:rPr>
                <w:color w:val="000000"/>
              </w:rPr>
              <w:t>6</w:t>
            </w:r>
          </w:p>
          <w:p w:rsidR="0038623D" w:rsidRDefault="0038623D">
            <w:pPr>
              <w:pBdr>
                <w:top w:val="none" w:sz="4" w:space="0" w:color="000000"/>
                <w:left w:val="none" w:sz="4" w:space="0" w:color="000000"/>
                <w:bottom w:val="none" w:sz="4" w:space="0" w:color="000000"/>
                <w:right w:val="none" w:sz="4" w:space="0" w:color="000000"/>
              </w:pBdr>
              <w:spacing w:line="288" w:lineRule="atLeast"/>
              <w:jc w:val="right"/>
              <w:rPr>
                <w:color w:val="000000"/>
              </w:rPr>
            </w:pPr>
          </w:p>
        </w:tc>
      </w:tr>
      <w:tr w:rsidR="0038623D">
        <w:trPr>
          <w:trHeight w:val="729"/>
        </w:trPr>
        <w:tc>
          <w:tcPr>
            <w:tcW w:w="678" w:type="dxa"/>
            <w:vMerge/>
          </w:tcPr>
          <w:p w:rsidR="0038623D" w:rsidRDefault="0038623D"/>
        </w:tc>
        <w:tc>
          <w:tcPr>
            <w:tcW w:w="1216" w:type="dxa"/>
            <w:vMerge/>
          </w:tcPr>
          <w:p w:rsidR="0038623D" w:rsidRDefault="0038623D"/>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jc w:val="center"/>
            </w:pPr>
            <w:r>
              <w:rPr>
                <w:color w:val="000000"/>
              </w:rPr>
              <w:t>на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w:t>
            </w: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jc w:val="center"/>
            </w:pPr>
            <w:r>
              <w:rPr>
                <w:color w:val="000000"/>
              </w:rPr>
              <w:t>на приобретение музыкальных инструментов, оборудования и учебных материалов для муниципальных образовательных организаций дополнительного образования (детских школ искусств) по видам искусств</w:t>
            </w:r>
          </w:p>
          <w:p w:rsidR="0038623D" w:rsidRDefault="0038623D">
            <w:pPr>
              <w:pBdr>
                <w:top w:val="none" w:sz="4" w:space="0" w:color="000000"/>
                <w:left w:val="none" w:sz="4" w:space="0" w:color="000000"/>
                <w:bottom w:val="none" w:sz="4" w:space="0" w:color="000000"/>
                <w:right w:val="none" w:sz="4" w:space="0" w:color="000000"/>
              </w:pBdr>
              <w:spacing w:line="288" w:lineRule="atLeast"/>
              <w:jc w:val="right"/>
              <w:rPr>
                <w:color w:val="000000"/>
              </w:rPr>
            </w:pPr>
          </w:p>
        </w:tc>
      </w:tr>
      <w:tr w:rsidR="0038623D">
        <w:trPr>
          <w:trHeight w:val="729"/>
        </w:trPr>
        <w:tc>
          <w:tcPr>
            <w:tcW w:w="678" w:type="dxa"/>
            <w:vMerge w:val="restart"/>
          </w:tcPr>
          <w:p w:rsidR="0038623D" w:rsidRDefault="00A50649">
            <w:r>
              <w:t>23.</w:t>
            </w:r>
          </w:p>
        </w:tc>
        <w:tc>
          <w:tcPr>
            <w:tcW w:w="1216" w:type="dxa"/>
            <w:vMerge w:val="restart"/>
          </w:tcPr>
          <w:p w:rsidR="0038623D" w:rsidRDefault="00A50649">
            <w:pPr>
              <w:jc w:val="both"/>
              <w:rPr>
                <w:highlight w:val="white"/>
              </w:rPr>
            </w:pPr>
            <w:r>
              <w:rPr>
                <w:highlight w:val="white"/>
              </w:rPr>
              <w:t xml:space="preserve">Приложение 12 таблица </w:t>
            </w:r>
            <w:r>
              <w:t>29</w:t>
            </w:r>
          </w:p>
          <w:p w:rsidR="0038623D" w:rsidRDefault="0038623D"/>
        </w:tc>
        <w:tc>
          <w:tcPr>
            <w:tcW w:w="7158" w:type="dxa"/>
            <w:gridSpan w:val="8"/>
            <w:vMerge w:val="restart"/>
          </w:tcPr>
          <w:p w:rsidR="0038623D" w:rsidRDefault="00A50649">
            <w:pPr>
              <w:pBdr>
                <w:top w:val="none" w:sz="4" w:space="0" w:color="000000"/>
                <w:left w:val="none" w:sz="4" w:space="0" w:color="000000"/>
                <w:bottom w:val="none" w:sz="4" w:space="0" w:color="000000"/>
                <w:right w:val="none" w:sz="4" w:space="0" w:color="000000"/>
              </w:pBdr>
              <w:jc w:val="center"/>
            </w:pPr>
            <w:r>
              <w:rPr>
                <w:color w:val="000000"/>
              </w:rPr>
              <w:t>СУБСИДИИ,</w:t>
            </w:r>
            <w:r>
              <w:rPr>
                <w:color w:val="000000"/>
              </w:rPr>
              <w:br/>
            </w:r>
          </w:p>
          <w:p w:rsidR="0038623D" w:rsidRDefault="00A50649">
            <w:pPr>
              <w:pBdr>
                <w:top w:val="none" w:sz="4" w:space="0" w:color="000000"/>
                <w:left w:val="none" w:sz="4" w:space="0" w:color="000000"/>
                <w:bottom w:val="none" w:sz="4" w:space="0" w:color="000000"/>
                <w:right w:val="none" w:sz="4" w:space="0" w:color="000000"/>
              </w:pBdr>
              <w:jc w:val="center"/>
            </w:pPr>
            <w:r>
              <w:rPr>
                <w:color w:val="000000"/>
              </w:rPr>
              <w:t>выделяемые местным бюджетам на развитие сети учреждений</w:t>
            </w:r>
          </w:p>
          <w:p w:rsidR="0038623D" w:rsidRDefault="00A50649">
            <w:pPr>
              <w:pBdr>
                <w:top w:val="none" w:sz="4" w:space="0" w:color="000000"/>
                <w:left w:val="none" w:sz="4" w:space="0" w:color="000000"/>
                <w:bottom w:val="none" w:sz="4" w:space="0" w:color="000000"/>
                <w:right w:val="none" w:sz="4" w:space="0" w:color="000000"/>
              </w:pBdr>
              <w:jc w:val="center"/>
            </w:pPr>
            <w:r>
              <w:rPr>
                <w:color w:val="000000"/>
              </w:rPr>
              <w:t>культурно-досугового типа в сельской местности на 2025 год</w:t>
            </w:r>
          </w:p>
          <w:p w:rsidR="0038623D" w:rsidRDefault="00A50649">
            <w:pPr>
              <w:pBdr>
                <w:top w:val="none" w:sz="4" w:space="0" w:color="000000"/>
                <w:left w:val="none" w:sz="4" w:space="0" w:color="000000"/>
                <w:bottom w:val="none" w:sz="4" w:space="0" w:color="000000"/>
                <w:right w:val="none" w:sz="4" w:space="0" w:color="000000"/>
              </w:pBdr>
              <w:jc w:val="center"/>
            </w:pPr>
            <w:r>
              <w:rPr>
                <w:color w:val="000000"/>
              </w:rPr>
              <w:t>и плановый период 2026 и 2027 годов</w:t>
            </w:r>
          </w:p>
          <w:p w:rsidR="0038623D" w:rsidRDefault="00A50649">
            <w:pPr>
              <w:pBdr>
                <w:top w:val="none" w:sz="4" w:space="0" w:color="000000"/>
                <w:left w:val="none" w:sz="4" w:space="0" w:color="000000"/>
                <w:bottom w:val="none" w:sz="4" w:space="0" w:color="000000"/>
                <w:right w:val="none" w:sz="4" w:space="0" w:color="000000"/>
              </w:pBdr>
              <w:spacing w:line="288" w:lineRule="atLeast"/>
              <w:jc w:val="both"/>
            </w:pPr>
            <w:r>
              <w:rPr>
                <w:color w:val="000000"/>
              </w:rPr>
              <w:t> </w:t>
            </w:r>
          </w:p>
          <w:p w:rsidR="0038623D" w:rsidRDefault="0038623D">
            <w:pPr>
              <w:pBdr>
                <w:top w:val="none" w:sz="4" w:space="0" w:color="000000"/>
                <w:left w:val="none" w:sz="4" w:space="0" w:color="000000"/>
                <w:bottom w:val="none" w:sz="4" w:space="0" w:color="000000"/>
                <w:right w:val="none" w:sz="4" w:space="0" w:color="000000"/>
              </w:pBdr>
              <w:jc w:val="center"/>
              <w:rPr>
                <w:color w:val="000000"/>
              </w:rPr>
            </w:pPr>
          </w:p>
        </w:tc>
        <w:tc>
          <w:tcPr>
            <w:tcW w:w="6683" w:type="dxa"/>
            <w:gridSpan w:val="8"/>
            <w:vMerge w:val="restart"/>
          </w:tcPr>
          <w:p w:rsidR="0038623D" w:rsidRDefault="00A50649">
            <w:pPr>
              <w:pBdr>
                <w:top w:val="none" w:sz="4" w:space="0" w:color="000000"/>
                <w:left w:val="none" w:sz="4" w:space="0" w:color="000000"/>
                <w:bottom w:val="none" w:sz="4" w:space="0" w:color="000000"/>
                <w:right w:val="none" w:sz="4" w:space="0" w:color="000000"/>
              </w:pBdr>
              <w:jc w:val="center"/>
            </w:pPr>
            <w:r>
              <w:rPr>
                <w:color w:val="000000"/>
              </w:rPr>
              <w:t>СУБСИДИИ,</w:t>
            </w:r>
            <w:r>
              <w:rPr>
                <w:color w:val="000000"/>
              </w:rPr>
              <w:br/>
            </w:r>
          </w:p>
          <w:p w:rsidR="0038623D" w:rsidRDefault="00A50649">
            <w:pPr>
              <w:pBdr>
                <w:top w:val="none" w:sz="4" w:space="0" w:color="000000"/>
                <w:left w:val="none" w:sz="4" w:space="0" w:color="000000"/>
                <w:bottom w:val="none" w:sz="4" w:space="0" w:color="000000"/>
                <w:right w:val="none" w:sz="4" w:space="0" w:color="000000"/>
              </w:pBdr>
              <w:jc w:val="center"/>
            </w:pPr>
            <w:r>
              <w:rPr>
                <w:color w:val="000000"/>
              </w:rPr>
              <w:t>выделяемые местным бюджетам на развитие сети учреждений</w:t>
            </w:r>
          </w:p>
          <w:p w:rsidR="0038623D" w:rsidRDefault="00A50649">
            <w:pPr>
              <w:pBdr>
                <w:top w:val="none" w:sz="4" w:space="0" w:color="000000"/>
                <w:left w:val="none" w:sz="4" w:space="0" w:color="000000"/>
                <w:bottom w:val="none" w:sz="4" w:space="0" w:color="000000"/>
                <w:right w:val="none" w:sz="4" w:space="0" w:color="000000"/>
              </w:pBdr>
              <w:jc w:val="center"/>
            </w:pPr>
            <w:r>
              <w:rPr>
                <w:color w:val="000000"/>
              </w:rPr>
              <w:t>культурно-досугового типа  на 2025 год</w:t>
            </w:r>
          </w:p>
          <w:p w:rsidR="0038623D" w:rsidRDefault="00A50649">
            <w:pPr>
              <w:pBdr>
                <w:top w:val="none" w:sz="4" w:space="0" w:color="000000"/>
                <w:left w:val="none" w:sz="4" w:space="0" w:color="000000"/>
                <w:bottom w:val="none" w:sz="4" w:space="0" w:color="000000"/>
                <w:right w:val="none" w:sz="4" w:space="0" w:color="000000"/>
              </w:pBdr>
              <w:jc w:val="center"/>
            </w:pPr>
            <w:r>
              <w:rPr>
                <w:color w:val="000000"/>
              </w:rPr>
              <w:t>и плановый период 2026 и 2027 годов</w:t>
            </w:r>
          </w:p>
          <w:p w:rsidR="0038623D" w:rsidRDefault="00A50649">
            <w:pPr>
              <w:pBdr>
                <w:top w:val="none" w:sz="4" w:space="0" w:color="000000"/>
                <w:left w:val="none" w:sz="4" w:space="0" w:color="000000"/>
                <w:bottom w:val="none" w:sz="4" w:space="0" w:color="000000"/>
                <w:right w:val="none" w:sz="4" w:space="0" w:color="000000"/>
              </w:pBdr>
              <w:spacing w:line="288" w:lineRule="atLeast"/>
              <w:jc w:val="both"/>
            </w:pPr>
            <w:r>
              <w:rPr>
                <w:color w:val="000000"/>
              </w:rPr>
              <w:t> </w:t>
            </w:r>
          </w:p>
          <w:p w:rsidR="0038623D" w:rsidRDefault="0038623D">
            <w:pPr>
              <w:pBdr>
                <w:top w:val="none" w:sz="4" w:space="0" w:color="000000"/>
                <w:left w:val="none" w:sz="4" w:space="0" w:color="000000"/>
                <w:bottom w:val="none" w:sz="4" w:space="0" w:color="000000"/>
                <w:right w:val="none" w:sz="4" w:space="0" w:color="000000"/>
              </w:pBdr>
              <w:jc w:val="center"/>
              <w:rPr>
                <w:color w:val="000000"/>
              </w:rPr>
            </w:pPr>
          </w:p>
        </w:tc>
      </w:tr>
      <w:tr w:rsidR="0038623D">
        <w:trPr>
          <w:trHeight w:val="729"/>
        </w:trPr>
        <w:tc>
          <w:tcPr>
            <w:tcW w:w="678" w:type="dxa"/>
            <w:vMerge w:val="restart"/>
          </w:tcPr>
          <w:p w:rsidR="0038623D" w:rsidRDefault="00A50649">
            <w:pPr>
              <w:rPr>
                <w:highlight w:val="white"/>
              </w:rPr>
            </w:pPr>
            <w:r>
              <w:t>24.</w:t>
            </w:r>
          </w:p>
          <w:p w:rsidR="0038623D" w:rsidRDefault="0038623D">
            <w:pPr>
              <w:rPr>
                <w:highlight w:val="white"/>
              </w:rPr>
            </w:pPr>
          </w:p>
        </w:tc>
        <w:tc>
          <w:tcPr>
            <w:tcW w:w="1216" w:type="dxa"/>
            <w:vMerge w:val="restart"/>
          </w:tcPr>
          <w:p w:rsidR="0038623D" w:rsidRDefault="00A50649">
            <w:pPr>
              <w:rPr>
                <w:highlight w:val="white"/>
              </w:rPr>
            </w:pPr>
            <w:r>
              <w:rPr>
                <w:highlight w:val="white"/>
              </w:rPr>
              <w:t>Приложение 14 таблица 1</w:t>
            </w:r>
          </w:p>
          <w:p w:rsidR="0038623D" w:rsidRDefault="0038623D">
            <w:pPr>
              <w:rPr>
                <w:highlight w:val="white"/>
              </w:rPr>
            </w:pPr>
          </w:p>
        </w:tc>
        <w:tc>
          <w:tcPr>
            <w:tcW w:w="918"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1</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2</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3</w:t>
            </w:r>
          </w:p>
        </w:tc>
        <w:tc>
          <w:tcPr>
            <w:tcW w:w="4255"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4</w:t>
            </w:r>
          </w:p>
        </w:tc>
        <w:tc>
          <w:tcPr>
            <w:tcW w:w="84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1</w:t>
            </w:r>
          </w:p>
        </w:tc>
        <w:tc>
          <w:tcPr>
            <w:tcW w:w="935"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2</w:t>
            </w:r>
          </w:p>
        </w:tc>
        <w:tc>
          <w:tcPr>
            <w:tcW w:w="90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3</w:t>
            </w:r>
          </w:p>
        </w:tc>
        <w:tc>
          <w:tcPr>
            <w:tcW w:w="3993"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color w:val="000000"/>
                <w:highlight w:val="white"/>
              </w:rPr>
            </w:pPr>
            <w:r>
              <w:rPr>
                <w:color w:val="000000"/>
                <w:highlight w:val="white"/>
              </w:rPr>
              <w:t>4</w:t>
            </w:r>
          </w:p>
        </w:tc>
      </w:tr>
      <w:tr w:rsidR="0038623D">
        <w:trPr>
          <w:trHeight w:val="729"/>
        </w:trPr>
        <w:tc>
          <w:tcPr>
            <w:tcW w:w="678" w:type="dxa"/>
            <w:vMerge/>
          </w:tcPr>
          <w:p w:rsidR="0038623D" w:rsidRDefault="0038623D"/>
        </w:tc>
        <w:tc>
          <w:tcPr>
            <w:tcW w:w="1216" w:type="dxa"/>
            <w:vMerge/>
          </w:tcPr>
          <w:p w:rsidR="0038623D" w:rsidRDefault="0038623D"/>
        </w:tc>
        <w:tc>
          <w:tcPr>
            <w:tcW w:w="918"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Апанасенковский муниципальный округ</w:t>
            </w:r>
            <w:r>
              <w:rPr>
                <w:color w:val="000000"/>
              </w:rPr>
              <w:br/>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20"/>
                <w:szCs w:val="20"/>
              </w:rPr>
            </w:pPr>
            <w:r>
              <w:rPr>
                <w:color w:val="000000"/>
                <w:sz w:val="22"/>
                <w:szCs w:val="22"/>
              </w:rPr>
              <w:t>1 622,61</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20"/>
                <w:szCs w:val="20"/>
              </w:rPr>
            </w:pPr>
            <w:r>
              <w:rPr>
                <w:color w:val="000000"/>
                <w:sz w:val="22"/>
                <w:szCs w:val="22"/>
              </w:rPr>
              <w:t>1 622,61</w:t>
            </w:r>
          </w:p>
        </w:tc>
        <w:tc>
          <w:tcPr>
            <w:tcW w:w="4255"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sz w:val="22"/>
                <w:szCs w:val="22"/>
              </w:rPr>
              <w:t>1 622,61</w:t>
            </w:r>
          </w:p>
        </w:tc>
        <w:tc>
          <w:tcPr>
            <w:tcW w:w="84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Апанасенковский муниципальный округ</w:t>
            </w:r>
            <w:r>
              <w:rPr>
                <w:color w:val="000000"/>
              </w:rPr>
              <w:br/>
            </w:r>
          </w:p>
        </w:tc>
        <w:tc>
          <w:tcPr>
            <w:tcW w:w="935"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pacing w:val="-11"/>
                <w:sz w:val="20"/>
                <w:szCs w:val="20"/>
              </w:rPr>
            </w:pPr>
            <w:r>
              <w:rPr>
                <w:color w:val="000000" w:themeColor="text1"/>
                <w:spacing w:val="-11"/>
                <w:sz w:val="22"/>
                <w:szCs w:val="22"/>
              </w:rPr>
              <w:lastRenderedPageBreak/>
              <w:t>1 662,61</w:t>
            </w:r>
          </w:p>
        </w:tc>
        <w:tc>
          <w:tcPr>
            <w:tcW w:w="90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pacing w:val="-11"/>
                <w:sz w:val="20"/>
                <w:szCs w:val="20"/>
              </w:rPr>
            </w:pPr>
            <w:r>
              <w:rPr>
                <w:color w:val="000000"/>
                <w:spacing w:val="-11"/>
                <w:sz w:val="22"/>
                <w:szCs w:val="22"/>
              </w:rPr>
              <w:t>1 622,61</w:t>
            </w:r>
          </w:p>
        </w:tc>
        <w:tc>
          <w:tcPr>
            <w:tcW w:w="3993"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spacing w:val="-11"/>
              </w:rPr>
              <w:t>1 622,61</w:t>
            </w:r>
          </w:p>
        </w:tc>
      </w:tr>
      <w:tr w:rsidR="0038623D">
        <w:trPr>
          <w:trHeight w:val="729"/>
        </w:trPr>
        <w:tc>
          <w:tcPr>
            <w:tcW w:w="678" w:type="dxa"/>
            <w:vMerge/>
          </w:tcPr>
          <w:p w:rsidR="0038623D" w:rsidRDefault="0038623D"/>
        </w:tc>
        <w:tc>
          <w:tcPr>
            <w:tcW w:w="1216" w:type="dxa"/>
            <w:vMerge/>
          </w:tcPr>
          <w:p w:rsidR="0038623D" w:rsidRDefault="0038623D"/>
        </w:tc>
        <w:tc>
          <w:tcPr>
            <w:tcW w:w="918"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Левокумский муниципальный округ</w:t>
            </w:r>
            <w:r>
              <w:rPr>
                <w:color w:val="000000"/>
              </w:rPr>
              <w:br/>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rPr>
              <w:t>612,94</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rPr>
              <w:t>612,94</w:t>
            </w:r>
          </w:p>
        </w:tc>
        <w:tc>
          <w:tcPr>
            <w:tcW w:w="4255"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rPr>
              <w:t>612,94</w:t>
            </w:r>
          </w:p>
        </w:tc>
        <w:tc>
          <w:tcPr>
            <w:tcW w:w="84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Левокумский муниципальный округ</w:t>
            </w:r>
            <w:r>
              <w:rPr>
                <w:color w:val="000000"/>
              </w:rPr>
              <w:br/>
            </w:r>
          </w:p>
        </w:tc>
        <w:tc>
          <w:tcPr>
            <w:tcW w:w="935"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themeColor="text1"/>
              </w:rPr>
              <w:t>313,29</w:t>
            </w:r>
          </w:p>
        </w:tc>
        <w:tc>
          <w:tcPr>
            <w:tcW w:w="90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rPr>
              <w:t>612,94</w:t>
            </w:r>
          </w:p>
        </w:tc>
        <w:tc>
          <w:tcPr>
            <w:tcW w:w="3993"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pPr>
            <w:r>
              <w:rPr>
                <w:color w:val="000000"/>
              </w:rPr>
              <w:t>612,94</w:t>
            </w:r>
          </w:p>
        </w:tc>
      </w:tr>
      <w:tr w:rsidR="0038623D">
        <w:trPr>
          <w:trHeight w:val="729"/>
        </w:trPr>
        <w:tc>
          <w:tcPr>
            <w:tcW w:w="678" w:type="dxa"/>
            <w:vMerge/>
          </w:tcPr>
          <w:p w:rsidR="0038623D" w:rsidRDefault="0038623D"/>
        </w:tc>
        <w:tc>
          <w:tcPr>
            <w:tcW w:w="1216" w:type="dxa"/>
            <w:vMerge/>
          </w:tcPr>
          <w:p w:rsidR="0038623D" w:rsidRDefault="0038623D"/>
        </w:tc>
        <w:tc>
          <w:tcPr>
            <w:tcW w:w="918"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Шпаковский муниципальный округ</w:t>
            </w:r>
            <w:r>
              <w:rPr>
                <w:color w:val="000000"/>
              </w:rPr>
              <w:br/>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20"/>
                <w:szCs w:val="20"/>
              </w:rPr>
            </w:pPr>
            <w:r>
              <w:rPr>
                <w:color w:val="000000"/>
                <w:sz w:val="22"/>
                <w:szCs w:val="22"/>
              </w:rPr>
              <w:t>2 322,26</w:t>
            </w:r>
          </w:p>
        </w:tc>
        <w:tc>
          <w:tcPr>
            <w:tcW w:w="992"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20"/>
                <w:szCs w:val="20"/>
              </w:rPr>
            </w:pPr>
            <w:r>
              <w:rPr>
                <w:color w:val="000000"/>
                <w:sz w:val="22"/>
                <w:szCs w:val="22"/>
              </w:rPr>
              <w:t>2 322,26</w:t>
            </w:r>
          </w:p>
        </w:tc>
        <w:tc>
          <w:tcPr>
            <w:tcW w:w="4255"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20"/>
                <w:szCs w:val="20"/>
              </w:rPr>
            </w:pPr>
            <w:r>
              <w:rPr>
                <w:color w:val="000000"/>
                <w:sz w:val="22"/>
                <w:szCs w:val="22"/>
              </w:rPr>
              <w:t>2322,26</w:t>
            </w:r>
          </w:p>
        </w:tc>
        <w:tc>
          <w:tcPr>
            <w:tcW w:w="84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pPr>
            <w:r>
              <w:rPr>
                <w:color w:val="000000"/>
              </w:rPr>
              <w:t>Шпаковский муниципальный округ</w:t>
            </w:r>
            <w:r>
              <w:rPr>
                <w:color w:val="000000"/>
              </w:rPr>
              <w:br/>
            </w:r>
          </w:p>
        </w:tc>
        <w:tc>
          <w:tcPr>
            <w:tcW w:w="935"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16"/>
                <w:szCs w:val="16"/>
              </w:rPr>
            </w:pPr>
            <w:r>
              <w:rPr>
                <w:color w:val="000000" w:themeColor="text1"/>
                <w:sz w:val="20"/>
                <w:szCs w:val="20"/>
              </w:rPr>
              <w:t>2 581,91</w:t>
            </w:r>
          </w:p>
        </w:tc>
        <w:tc>
          <w:tcPr>
            <w:tcW w:w="907" w:type="dxa"/>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16"/>
                <w:szCs w:val="16"/>
              </w:rPr>
            </w:pPr>
            <w:r>
              <w:rPr>
                <w:color w:val="000000"/>
                <w:spacing w:val="-6"/>
                <w:sz w:val="20"/>
                <w:szCs w:val="20"/>
              </w:rPr>
              <w:t>2 322,26</w:t>
            </w:r>
          </w:p>
        </w:tc>
        <w:tc>
          <w:tcPr>
            <w:tcW w:w="3993" w:type="dxa"/>
            <w:gridSpan w:val="5"/>
            <w:vMerge w:val="restart"/>
          </w:tcPr>
          <w:p w:rsidR="0038623D" w:rsidRDefault="00A50649">
            <w:pPr>
              <w:pBdr>
                <w:top w:val="none" w:sz="4" w:space="0" w:color="000000"/>
                <w:left w:val="none" w:sz="4" w:space="0" w:color="000000"/>
                <w:bottom w:val="none" w:sz="4" w:space="0" w:color="000000"/>
                <w:right w:val="none" w:sz="4" w:space="0" w:color="000000"/>
              </w:pBdr>
              <w:spacing w:line="288" w:lineRule="atLeast"/>
              <w:jc w:val="right"/>
              <w:rPr>
                <w:sz w:val="16"/>
                <w:szCs w:val="16"/>
              </w:rPr>
            </w:pPr>
            <w:r>
              <w:rPr>
                <w:color w:val="000000"/>
                <w:sz w:val="20"/>
                <w:szCs w:val="20"/>
              </w:rPr>
              <w:t>2 322,26</w:t>
            </w:r>
          </w:p>
        </w:tc>
      </w:tr>
    </w:tbl>
    <w:p w:rsidR="0038623D" w:rsidRDefault="0038623D">
      <w:pPr>
        <w:ind w:left="-686" w:right="-476" w:firstLine="709"/>
        <w:jc w:val="both"/>
        <w:rPr>
          <w:color w:val="000000"/>
          <w:sz w:val="28"/>
          <w:szCs w:val="28"/>
        </w:rPr>
      </w:pPr>
    </w:p>
    <w:p w:rsidR="0038623D" w:rsidRDefault="00A50649">
      <w:pPr>
        <w:ind w:left="-686" w:right="-476" w:firstLine="709"/>
        <w:jc w:val="both"/>
        <w:rPr>
          <w:color w:val="000000"/>
          <w:sz w:val="28"/>
          <w:szCs w:val="28"/>
        </w:rPr>
      </w:pPr>
      <w:r>
        <w:rPr>
          <w:color w:val="000000"/>
          <w:sz w:val="28"/>
          <w:szCs w:val="28"/>
        </w:rPr>
        <w:t>25</w:t>
      </w:r>
      <w:r>
        <w:rPr>
          <w:color w:val="000000"/>
          <w:sz w:val="28"/>
          <w:szCs w:val="28"/>
          <w:highlight w:val="white"/>
        </w:rPr>
        <w:t>. Приложения 1, 5, 6,  7, 8, 9, 10, таблицы 2, 7, 12, 18, 19, 20, 22, 43, 45, 52 приложения 12, таблицы 5, 11, 12, 13, 14, 17, 24, 26  приложения 13, приложения 15, 16 изложены в новой редакции.</w:t>
      </w:r>
    </w:p>
    <w:p w:rsidR="0038623D" w:rsidRDefault="00A50649">
      <w:pPr>
        <w:ind w:left="-686" w:right="-476" w:firstLine="709"/>
        <w:jc w:val="both"/>
        <w:rPr>
          <w:sz w:val="28"/>
          <w:szCs w:val="28"/>
        </w:rPr>
      </w:pPr>
      <w:r>
        <w:rPr>
          <w:sz w:val="28"/>
          <w:szCs w:val="28"/>
        </w:rPr>
        <w:t>26</w:t>
      </w:r>
      <w:r>
        <w:rPr>
          <w:sz w:val="28"/>
          <w:szCs w:val="28"/>
          <w:highlight w:val="white"/>
        </w:rPr>
        <w:t>. Приложение 12 дополнено таблицами 58 и 59.</w:t>
      </w:r>
    </w:p>
    <w:p w:rsidR="0038623D" w:rsidRDefault="00A50649">
      <w:pPr>
        <w:ind w:left="-686" w:right="-476" w:firstLine="709"/>
        <w:jc w:val="both"/>
        <w:rPr>
          <w:sz w:val="28"/>
          <w:szCs w:val="28"/>
          <w:highlight w:val="white"/>
        </w:rPr>
      </w:pPr>
      <w:r>
        <w:rPr>
          <w:sz w:val="28"/>
          <w:szCs w:val="28"/>
        </w:rPr>
        <w:t>27. Таблица 24</w:t>
      </w:r>
      <w:r>
        <w:rPr>
          <w:sz w:val="28"/>
          <w:szCs w:val="28"/>
        </w:rPr>
        <w:t xml:space="preserve"> приложения 12 признана утратившей силу.</w:t>
      </w:r>
    </w:p>
    <w:p w:rsidR="0038623D" w:rsidRDefault="0038623D">
      <w:pPr>
        <w:jc w:val="center"/>
        <w:rPr>
          <w:highlight w:val="white"/>
        </w:rPr>
      </w:pPr>
    </w:p>
    <w:p w:rsidR="0038623D" w:rsidRDefault="0038623D">
      <w:pPr>
        <w:jc w:val="center"/>
        <w:rPr>
          <w:highlight w:val="white"/>
        </w:rPr>
      </w:pPr>
    </w:p>
    <w:p w:rsidR="0038623D" w:rsidRDefault="0038623D">
      <w:pPr>
        <w:jc w:val="center"/>
        <w:rPr>
          <w:highlight w:val="white"/>
        </w:rPr>
      </w:pPr>
    </w:p>
    <w:p w:rsidR="0038623D" w:rsidRDefault="00A50649">
      <w:pPr>
        <w:jc w:val="center"/>
        <w:rPr>
          <w:highlight w:val="white"/>
        </w:rPr>
      </w:pPr>
      <w:r>
        <w:rPr>
          <w:highlight w:val="white"/>
        </w:rPr>
        <w:lastRenderedPageBreak/>
        <w:t>_______________________________</w:t>
      </w:r>
    </w:p>
    <w:p w:rsidR="0038623D" w:rsidRDefault="0038623D">
      <w:pPr>
        <w:rPr>
          <w:highlight w:val="white"/>
        </w:rPr>
      </w:pPr>
    </w:p>
    <w:sectPr w:rsidR="0038623D">
      <w:type w:val="continuous"/>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49" w:rsidRDefault="00A50649">
      <w:r>
        <w:separator/>
      </w:r>
    </w:p>
  </w:endnote>
  <w:endnote w:type="continuationSeparator" w:id="0">
    <w:p w:rsidR="00A50649" w:rsidRDefault="00A5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49" w:rsidRDefault="00A50649">
      <w:r>
        <w:separator/>
      </w:r>
    </w:p>
  </w:footnote>
  <w:footnote w:type="continuationSeparator" w:id="0">
    <w:p w:rsidR="00A50649" w:rsidRDefault="00A50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3D" w:rsidRDefault="00A50649">
    <w:pPr>
      <w:pStyle w:val="ab"/>
      <w:jc w:val="right"/>
      <w:rPr>
        <w:sz w:val="28"/>
        <w:szCs w:val="28"/>
      </w:rPr>
    </w:pPr>
    <w:r>
      <w:fldChar w:fldCharType="begin"/>
    </w:r>
    <w:r>
      <w:instrText>PAGE \* MERGEFORMAT</w:instrText>
    </w:r>
    <w:r>
      <w:fldChar w:fldCharType="separate"/>
    </w:r>
    <w:r w:rsidR="003117C0" w:rsidRPr="003117C0">
      <w:rPr>
        <w:noProof/>
        <w:sz w:val="28"/>
        <w:szCs w:val="28"/>
      </w:rPr>
      <w:t>2</w:t>
    </w:r>
    <w:r>
      <w:rPr>
        <w:sz w:val="28"/>
        <w:szCs w:val="28"/>
      </w:rPr>
      <w:fldChar w:fldCharType="end"/>
    </w:r>
  </w:p>
  <w:p w:rsidR="0038623D" w:rsidRDefault="0038623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3D"/>
    <w:rsid w:val="003117C0"/>
    <w:rsid w:val="0038623D"/>
    <w:rsid w:val="00A5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765DE-2F38-4549-BDAA-0CFD2930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semiHidden/>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rPr>
      <w:rFonts w:ascii="Times New Roman" w:eastAsia="Times New Roman" w:hAnsi="Times New Roman"/>
      <w:lang w:eastAsia="ru-RU"/>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basedOn w:val="a0"/>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rPr>
      <w:rFonts w:ascii="Times New Roman" w:eastAsia="Times New Roman" w:hAnsi="Times New Roman"/>
      <w:sz w:val="28"/>
      <w:szCs w:val="28"/>
      <w:lang w:eastAsia="en-US"/>
    </w:rPr>
  </w:style>
  <w:style w:type="character" w:customStyle="1" w:styleId="ac">
    <w:name w:val="Верхний колонтитул Знак"/>
    <w:basedOn w:val="a0"/>
    <w:link w:val="ab"/>
    <w:uiPriority w:val="99"/>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semiHidden/>
    <w:rPr>
      <w:rFonts w:ascii="Times New Roman" w:eastAsia="Times New Roman" w:hAnsi="Times New Roman" w:cs="Times New Roman"/>
      <w:sz w:val="24"/>
      <w:szCs w:val="24"/>
      <w:lang w:eastAsia="ru-RU"/>
    </w:rPr>
  </w:style>
  <w:style w:type="paragraph" w:styleId="afa">
    <w:name w:val="Normal (Web)"/>
    <w:basedOn w:val="a"/>
    <w:uiPriority w:val="99"/>
    <w:unhideWhenUsed/>
    <w:pPr>
      <w:spacing w:before="100" w:beforeAutospacing="1" w:after="100" w:afterAutospacing="1"/>
    </w:pPr>
  </w:style>
  <w:style w:type="character" w:styleId="afb">
    <w:name w:val="FollowedHyperlink"/>
    <w:basedOn w:val="a0"/>
    <w:uiPriority w:val="99"/>
    <w:semiHidden/>
    <w:unhideWhenUsed/>
    <w:rPr>
      <w:color w:val="800080"/>
      <w:u w:val="single"/>
    </w:rPr>
  </w:style>
  <w:style w:type="paragraph" w:customStyle="1" w:styleId="13">
    <w:name w:val="Обычный (веб)1"/>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lang w:eastAsia="ru-RU"/>
    </w:rPr>
  </w:style>
  <w:style w:type="paragraph" w:customStyle="1" w:styleId="25">
    <w:name w:val="Обычный (веб)2"/>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25083&amp;date=25.02.2025" TargetMode="External"/><Relationship Id="rId3" Type="http://schemas.openxmlformats.org/officeDocument/2006/relationships/webSettings" Target="webSettings.xml"/><Relationship Id="rId7" Type="http://schemas.openxmlformats.org/officeDocument/2006/relationships/hyperlink" Target="https://login.consultant.ru/link/?req=doc&amp;base=RLAW077&amp;n=225083&amp;date=03.06.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Сигидова</dc:creator>
  <cp:lastModifiedBy>Шляпцева Ирина Борисовна</cp:lastModifiedBy>
  <cp:revision>2</cp:revision>
  <dcterms:created xsi:type="dcterms:W3CDTF">2025-06-10T07:24:00Z</dcterms:created>
  <dcterms:modified xsi:type="dcterms:W3CDTF">2025-06-10T07:24:00Z</dcterms:modified>
  <cp:version>786432</cp:version>
</cp:coreProperties>
</file>