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spacing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ПОЯСНИТЕЛЬНАЯ ЗАПИСКА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spacing w:line="283" w:lineRule="exact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проекту закона Ставропольского края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 внесении изменений в отдельные законодательные акты Ставропольского края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/>
    </w:p>
    <w:p>
      <w:pPr>
        <w:pStyle w:val="866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left="0" w:right="0" w:firstLine="709"/>
        <w:jc w:val="both"/>
        <w:widowControl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 закона Ставропольского края «О внесении изменений в отдельные законодательные акты Ставропольского края» (далее – законопроект) подготовлен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целях приведения законов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Ставропольского края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19 ноября 2003 г. № 42-кз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системе избирательных комиссий в Ставропольском крае»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27 июля 2006 г. № 68-кз «О выборах депутато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Думы Ставропольского края»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(далее – Закон СК № 68-кз) в соответствие с Федеральным законом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12 июня 2002 г. № 67-ФЗ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(далее – Федеральный закон № 67-ФЗ)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учетом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закона № 1155581-8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принятого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Государственной Думой Федерального Собрания Российской Федерации и направленного </w:t>
        <w:br/>
        <w:t xml:space="preserve">в Совет Федерации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Федерального Собрания Российской Федерации </w:t>
        <w:br/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21 апреля 2026 года.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866"/>
        <w:ind w:left="0" w:right="0" w:firstLine="709"/>
        <w:jc w:val="both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законопроектом вносятся изменения в Закон СК № 68-кз, подготовленные на основании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замечаний и предложений Правового управления Аппарата Центральной избирательной комиссии Российской Федерации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(письмо ЦИК России от 05.02.2026 г. № 05-12/411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66"/>
        <w:ind w:left="0" w:right="0" w:firstLine="709"/>
        <w:jc w:val="both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Законопроектом предлагается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исключить обязанность глав местных администраций муниципальных образований представлять сведения об избирателях, участниках референдума для составления списков избирателей, участников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референдума, учитывая, что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избирательными комиссиями используется Регистр избирателей, участников референдума, который уточняется в реальном времени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66"/>
        <w:ind w:left="0" w:right="0" w:firstLine="709"/>
        <w:jc w:val="both"/>
        <w:widowControl/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Закрепляется, что порядок и форма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списка наблюдателей, назначаемых кандидатами, избирательными объединениями, субъектами общественного контроля,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устанавливаются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Центральной избирательной комиссией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pStyle w:val="866"/>
        <w:ind w:left="0" w:right="0" w:firstLine="709"/>
        <w:jc w:val="both"/>
        <w:widowControl/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Законопроектом предлагается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редусмотреть возможность для избирательных объединений самостоятельно определять, публиковать свою 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едвыборную программу в соответствующем периодическом печатном издании или размещать ее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информационно-телекоммуникационной сети «Интернет» (далее – сеть Интернет)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pStyle w:val="866"/>
        <w:ind w:left="0" w:right="0" w:firstLine="709"/>
        <w:jc w:val="both"/>
        <w:widowControl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Вместо публикации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финансовых отчетов кандидатов, избирательных объединений, а также сведений о поступлении и расходовании средств избирательных фондов в региональных периодических печат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ных изданиях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законопроектом предлагается закрепить их обязательное размещение на официальных сайтах избирательных комиссий в сети Интернет.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866"/>
        <w:ind w:left="0" w:right="0" w:firstLine="709"/>
        <w:jc w:val="both"/>
        <w:widowControl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редлагается продлить на один день предельный срок для передачи избирательных бюллетеней участковым избирательным комиссиям, согласно которому избирательные бюллетени передаются не позднее дня, предшествующего дню (первому дню) голосования.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866"/>
        <w:ind w:left="0" w:right="0" w:firstLine="709"/>
        <w:jc w:val="both"/>
        <w:widowControl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Закрепляется возможность оформления протоколов и сводных таблиц участковых, территориальных и окружных избирательных комиссий в электронном виде. При этом предусматривается обязательная выдача и заверение копии такого протокола на бумажном носителе.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ешение об оформлении протоколов и сводных таблиц в электронном виде принимается избирательной комиссией Ставропольского края в порядке, предусмотренном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Центральной избирательной комиссией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pStyle w:val="866"/>
        <w:ind w:left="0" w:right="0" w:firstLine="709"/>
        <w:jc w:val="both"/>
        <w:widowControl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редлагается установить запрет на использование в агитационных материалах любых изображений (образов)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(или) воспроизведение голоса человека, в том числе вымышленного или умершего, включая изображение или аудиозапись, созданные с применением информационных технологий.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866"/>
        <w:ind w:left="0" w:right="0" w:firstLine="709"/>
        <w:jc w:val="both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Вступление в силу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оложений Закона № 68-кз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(в редакции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акона Ставропольского края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05 ноября 2025 г. № 99-кз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отдельные законодательные акты Ставропольского края»)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части открытия специальных избирательных счетов избирательных объединений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без личного присутствия (дистанционно)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предлагается установить с 1 января 2028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этом 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ля кандидатов возможность дистанционного открытия специальных избирательных счетов доступна и действует с 1 января 2026 года.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66"/>
        <w:ind w:left="0" w:right="0" w:firstLine="709"/>
        <w:jc w:val="both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учетом предложений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Центральной избирательной комиссии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законопроектом предлагается дополнить </w:t>
        <w:br/>
        <w:t xml:space="preserve">Закон № 68-кз положением об обязанности избирательной комиссии по обеспечению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оповещения и возможности свободного доступа лиц, уполномоченных на то законом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на свои заседания и в помещение, в котором проводится подсчет голосов избирателей, осуществляется работа с избирательными документами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66"/>
        <w:ind w:left="0" w:right="0" w:firstLine="709"/>
        <w:jc w:val="both"/>
        <w:widowControl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предлагается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определить конкретное число отбираемых для проверки подписей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 процентов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необходимого для регистрации кандидата, краевого списка кандидатов количества подписей избирателей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также закрепить возможность сбора подписей избирателей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866"/>
        <w:ind w:left="0" w:right="0" w:firstLine="709"/>
        <w:jc w:val="both"/>
        <w:widowControl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Кроме того, предлагается исключить из перечня документов, предоставляемых для регистрации как кандидатов, так и краевого списка кандидатов, первый финансовый отчет.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866"/>
        <w:ind w:left="0" w:right="0" w:firstLine="709"/>
        <w:jc w:val="both"/>
        <w:shd w:val="clear" w:color="auto" w:fill="auto"/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Реализация законопроекта не потребует дополнительного выделения средств из бюджета Ставропольского края.</w:t>
      </w:r>
      <w:r/>
    </w:p>
    <w:p>
      <w:pPr>
        <w:pStyle w:val="866"/>
        <w:ind w:left="0" w:right="0" w:firstLine="720"/>
        <w:jc w:val="both"/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Принятие законопроекта не потребует внесения изменений в нормативные правовые акты Ставропольского края или признания их утратившими силу.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</w:r>
      <w:r/>
    </w:p>
    <w:p>
      <w:pPr>
        <w:pStyle w:val="874"/>
        <w:ind w:left="0" w:right="0" w:firstLine="720"/>
        <w:spacing w:before="0" w:after="0" w:line="240" w:lineRule="auto"/>
        <w:shd w:val="clear" w:color="auto" w:fill="auto"/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Законопроект соответствует Конституции Российской Федерации,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федеральным законам, Уставу (Основному Закону) Ставропольского края.</w:t>
      </w:r>
      <w:r/>
    </w:p>
    <w:p>
      <w:pPr>
        <w:pStyle w:val="874"/>
        <w:ind w:left="0" w:right="0" w:firstLine="720"/>
        <w:spacing w:before="0" w:after="0" w:line="240" w:lineRule="auto"/>
        <w:shd w:val="clear" w:color="auto" w:fill="auto"/>
      </w:pPr>
      <w:r>
        <w:rPr>
          <w:rFonts w:eastAsia="Arial Unicode MS"/>
          <w:color w:val="000000"/>
          <w:sz w:val="28"/>
          <w:szCs w:val="28"/>
          <w:lang w:eastAsia="ru-RU"/>
        </w:rPr>
      </w:r>
      <w:r/>
    </w:p>
    <w:p>
      <w:pPr>
        <w:pStyle w:val="866"/>
        <w:jc w:val="center"/>
      </w:pPr>
      <w:r>
        <w:rPr>
          <w:rFonts w:ascii="Times New Roman" w:hAnsi="Times New Roman" w:eastAsia="Arial Unicode MS"/>
          <w:color w:val="000000"/>
          <w:sz w:val="28"/>
          <w:szCs w:val="28"/>
          <w:lang w:eastAsia="ru-RU"/>
        </w:rPr>
        <w:t xml:space="preserve">__________________________</w:t>
      </w:r>
      <w:r/>
    </w:p>
    <w:p>
      <w:pPr>
        <w:pStyle w:val="866"/>
        <w:ind w:left="0" w:right="0" w:firstLine="0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5" w:h="16837" w:orient="portrait"/>
      <w:pgMar w:top="1134" w:right="851" w:bottom="821" w:left="1701" w:header="709" w:footer="113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6040504020204"/>
  </w:font>
  <w:font w:name="Droid Sans">
    <w:panose1 w:val="020B0606030804020204"/>
  </w:font>
  <w:font w:name="Open Sans">
    <w:panose1 w:val="020B0606030504020204"/>
  </w:font>
  <w:font w:name="Arial Unicode MS">
    <w:panose1 w:val="020B0604020202020204"/>
  </w:font>
  <w:font w:name="DejaVu Sans">
    <w:panose1 w:val="020B06030308040202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tabs>
        <w:tab w:val="center" w:pos="4676" w:leader="none"/>
        <w:tab w:val="right" w:pos="9354" w:leader="none"/>
      </w:tabs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 xml:space="preserve">PAGE</w:instrText>
    </w:r>
    <w:r>
      <w:fldChar w:fldCharType="separate"/>
    </w:r>
    <w:r>
      <w:rPr>
        <w:rFonts w:ascii="Times New Roman" w:hAnsi="Times New Roman" w:cs="Times New Roman"/>
        <w:sz w:val="28"/>
        <w:szCs w:val="28"/>
        <w:lang w:val="en-US"/>
      </w:rPr>
      <w:t xml:space="preserve">2</w:t>
    </w:r>
    <w:r>
      <w:fldChar w:fldCharType="end"/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Normal"/>
    <w:qFormat/>
  </w:style>
  <w:style w:type="paragraph" w:styleId="690">
    <w:name w:val="Heading 1"/>
    <w:basedOn w:val="689"/>
    <w:next w:val="689"/>
    <w:link w:val="691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1">
    <w:name w:val="Heading 1 Char"/>
    <w:basedOn w:val="878"/>
    <w:link w:val="690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2">
    <w:name w:val="Heading 2"/>
    <w:basedOn w:val="689"/>
    <w:next w:val="689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3">
    <w:name w:val="Heading 2 Char"/>
    <w:basedOn w:val="878"/>
    <w:link w:val="692"/>
    <w:uiPriority w:val="9"/>
    <w:rPr>
      <w:rFonts w:ascii="Liberation Sans" w:hAnsi="Liberation Sans" w:eastAsia="Liberation Sans" w:cs="Liberation Sans"/>
      <w:sz w:val="34"/>
    </w:rPr>
  </w:style>
  <w:style w:type="paragraph" w:styleId="694">
    <w:name w:val="Heading 3"/>
    <w:basedOn w:val="689"/>
    <w:next w:val="689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5">
    <w:name w:val="Heading 3 Char"/>
    <w:basedOn w:val="878"/>
    <w:link w:val="694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6">
    <w:name w:val="Heading 4"/>
    <w:basedOn w:val="689"/>
    <w:next w:val="689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7">
    <w:name w:val="Heading 4 Char"/>
    <w:basedOn w:val="878"/>
    <w:link w:val="69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8">
    <w:name w:val="Heading 5"/>
    <w:basedOn w:val="689"/>
    <w:next w:val="689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9">
    <w:name w:val="Heading 5 Char"/>
    <w:basedOn w:val="878"/>
    <w:link w:val="69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0">
    <w:name w:val="Heading 6"/>
    <w:basedOn w:val="689"/>
    <w:next w:val="689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1">
    <w:name w:val="Heading 6 Char"/>
    <w:basedOn w:val="878"/>
    <w:link w:val="70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2">
    <w:name w:val="Heading 7"/>
    <w:basedOn w:val="689"/>
    <w:next w:val="689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3">
    <w:name w:val="Heading 7 Char"/>
    <w:basedOn w:val="878"/>
    <w:link w:val="70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4">
    <w:name w:val="Heading 8"/>
    <w:basedOn w:val="689"/>
    <w:next w:val="689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5">
    <w:name w:val="Heading 8 Char"/>
    <w:basedOn w:val="878"/>
    <w:link w:val="70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6">
    <w:name w:val="Heading 9"/>
    <w:basedOn w:val="689"/>
    <w:next w:val="689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7">
    <w:name w:val="Heading 9 Char"/>
    <w:basedOn w:val="878"/>
    <w:link w:val="70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8">
    <w:name w:val="List Paragraph"/>
    <w:basedOn w:val="689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character" w:styleId="710">
    <w:name w:val="Title Char"/>
    <w:basedOn w:val="878"/>
    <w:link w:val="872"/>
    <w:uiPriority w:val="10"/>
    <w:rPr>
      <w:sz w:val="48"/>
      <w:szCs w:val="48"/>
    </w:rPr>
  </w:style>
  <w:style w:type="paragraph" w:styleId="711">
    <w:name w:val="Subtitle"/>
    <w:basedOn w:val="689"/>
    <w:next w:val="689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78"/>
    <w:link w:val="711"/>
    <w:uiPriority w:val="11"/>
    <w:rPr>
      <w:sz w:val="24"/>
      <w:szCs w:val="24"/>
    </w:rPr>
  </w:style>
  <w:style w:type="paragraph" w:styleId="713">
    <w:name w:val="Quote"/>
    <w:basedOn w:val="689"/>
    <w:next w:val="689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689"/>
    <w:next w:val="689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78"/>
    <w:link w:val="876"/>
    <w:uiPriority w:val="99"/>
  </w:style>
  <w:style w:type="paragraph" w:styleId="718">
    <w:name w:val="Footer"/>
    <w:basedOn w:val="689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basedOn w:val="878"/>
    <w:link w:val="718"/>
    <w:uiPriority w:val="99"/>
  </w:style>
  <w:style w:type="character" w:styleId="720">
    <w:name w:val="Caption Char"/>
    <w:basedOn w:val="878"/>
    <w:link w:val="870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689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78"/>
    <w:uiPriority w:val="99"/>
    <w:unhideWhenUsed/>
    <w:rPr>
      <w:vertAlign w:val="superscript"/>
    </w:rPr>
  </w:style>
  <w:style w:type="paragraph" w:styleId="851">
    <w:name w:val="endnote text"/>
    <w:basedOn w:val="689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78"/>
    <w:uiPriority w:val="99"/>
    <w:semiHidden/>
    <w:unhideWhenUsed/>
    <w:rPr>
      <w:vertAlign w:val="superscript"/>
    </w:rPr>
  </w:style>
  <w:style w:type="paragraph" w:styleId="854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865" w:default="1">
    <w:name w:val="DStyle_paragraph"/>
    <w:rPr>
      <w:rFonts w:ascii="Calibri" w:hAnsi="Calibri" w:eastAsia="Calibri" w:cs="DejaVu Sans"/>
      <w:color w:val="auto"/>
      <w:sz w:val="22"/>
      <w:szCs w:val="22"/>
      <w:lang w:val="ru-RU" w:eastAsia="en-US" w:bidi="ar-SA"/>
    </w:rPr>
  </w:style>
  <w:style w:type="paragraph" w:styleId="866" w:customStyle="1">
    <w:name w:val="Standard"/>
    <w:basedOn w:val="865"/>
    <w:pPr>
      <w:jc w:val="left"/>
      <w:spacing w:before="0" w:after="0"/>
      <w:widowControl w:val="off"/>
    </w:pPr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paragraph" w:styleId="867" w:customStyle="1">
    <w:name w:val="Heading"/>
    <w:basedOn w:val="866"/>
    <w:next w:val="868"/>
    <w:pPr>
      <w:keepNext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868" w:customStyle="1">
    <w:name w:val="Text body"/>
    <w:basedOn w:val="866"/>
    <w:qFormat/>
    <w:pPr>
      <w:spacing w:before="0" w:after="140" w:line="276" w:lineRule="auto"/>
    </w:pPr>
  </w:style>
  <w:style w:type="paragraph" w:styleId="869" w:customStyle="1">
    <w:name w:val="List"/>
    <w:basedOn w:val="868"/>
    <w:rPr>
      <w:rFonts w:cs="Droid Sans"/>
    </w:rPr>
  </w:style>
  <w:style w:type="paragraph" w:styleId="870" w:customStyle="1">
    <w:name w:val="Caption"/>
    <w:basedOn w:val="866"/>
    <w:link w:val="720"/>
    <w:pPr>
      <w:spacing w:before="120" w:after="120"/>
    </w:pPr>
    <w:rPr>
      <w:rFonts w:cs="Droid Sans"/>
      <w:i/>
      <w:iCs/>
    </w:rPr>
  </w:style>
  <w:style w:type="paragraph" w:styleId="871" w:customStyle="1">
    <w:name w:val="Index"/>
    <w:basedOn w:val="866"/>
    <w:rPr>
      <w:rFonts w:cs="Droid Sans"/>
    </w:rPr>
  </w:style>
  <w:style w:type="paragraph" w:styleId="872" w:customStyle="1">
    <w:name w:val="Title"/>
    <w:basedOn w:val="866"/>
    <w:next w:val="868"/>
    <w:pPr>
      <w:keepNext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873" w:customStyle="1">
    <w:name w:val="Index Heading"/>
    <w:basedOn w:val="866"/>
    <w:qFormat/>
    <w:rPr>
      <w:rFonts w:cs="Droid Sans"/>
    </w:rPr>
  </w:style>
  <w:style w:type="paragraph" w:styleId="874" w:customStyle="1">
    <w:name w:val="Основной текст (2)"/>
    <w:basedOn w:val="866"/>
    <w:qFormat/>
    <w:pPr>
      <w:jc w:val="both"/>
      <w:spacing w:before="180" w:after="600" w:line="230" w:lineRule="exact"/>
      <w:shd w:val="clear" w:color="auto" w:fill="ffffff"/>
    </w:pPr>
    <w:rPr>
      <w:rFonts w:ascii="Times New Roman" w:hAnsi="Times New Roman" w:eastAsia="Calibri" w:cs="Times New Roman"/>
      <w:color w:val="auto"/>
      <w:sz w:val="26"/>
      <w:szCs w:val="26"/>
      <w:lang w:eastAsia="en-US"/>
    </w:rPr>
  </w:style>
  <w:style w:type="paragraph" w:styleId="875" w:customStyle="1">
    <w:name w:val="Header and Footer"/>
    <w:basedOn w:val="866"/>
    <w:qFormat/>
  </w:style>
  <w:style w:type="paragraph" w:styleId="876" w:customStyle="1">
    <w:name w:val="Header"/>
    <w:basedOn w:val="866"/>
    <w:pPr>
      <w:tabs>
        <w:tab w:val="center" w:pos="4676" w:leader="none"/>
        <w:tab w:val="right" w:pos="9354" w:leader="none"/>
      </w:tabs>
    </w:pPr>
  </w:style>
  <w:style w:type="paragraph" w:styleId="877" w:customStyle="1">
    <w:name w:val="Balloon Text"/>
    <w:basedOn w:val="866"/>
    <w:qFormat/>
    <w:rPr>
      <w:rFonts w:ascii="Tahoma" w:hAnsi="Tahoma" w:cs="Tahoma"/>
      <w:sz w:val="16"/>
      <w:szCs w:val="16"/>
    </w:rPr>
  </w:style>
  <w:style w:type="character" w:styleId="878" w:default="1" w:customStyle="1">
    <w:name w:val="Default Paragraph Font"/>
    <w:basedOn w:val="865"/>
    <w:qFormat/>
  </w:style>
  <w:style w:type="character" w:styleId="879" w:customStyle="1">
    <w:name w:val="Основной текст (2)_"/>
    <w:basedOn w:val="878"/>
    <w:qFormat/>
    <w:rPr>
      <w:rFonts w:ascii="Times New Roman" w:hAnsi="Times New Roman" w:cs="Times New Roman"/>
      <w:sz w:val="26"/>
      <w:szCs w:val="26"/>
      <w:shd w:val="clear" w:color="auto" w:fill="ffffff"/>
    </w:rPr>
  </w:style>
  <w:style w:type="character" w:styleId="880" w:customStyle="1">
    <w:name w:val="Верхний колонтитул Знак"/>
    <w:basedOn w:val="878"/>
    <w:qFormat/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character" w:styleId="881" w:customStyle="1">
    <w:name w:val="Текст выноски Знак"/>
    <w:basedOn w:val="878"/>
    <w:qFormat/>
    <w:rPr>
      <w:rFonts w:ascii="Tahoma" w:hAnsi="Tahoma" w:eastAsia="Arial Unicode MS" w:cs="Tahoma"/>
      <w:color w:val="000000"/>
      <w:sz w:val="16"/>
      <w:szCs w:val="16"/>
      <w:lang w:eastAsia="ru-RU"/>
    </w:rPr>
  </w:style>
  <w:style w:type="numbering" w:styleId="882" w:default="1">
    <w:name w:val="No List"/>
    <w:uiPriority w:val="99"/>
    <w:semiHidden/>
    <w:unhideWhenUsed/>
  </w:style>
  <w:style w:type="table" w:styleId="8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LibreOffice/24.8.4.1$Linux_X86_64 LibreOffice_project/480$Build-1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12.06.2002 N 67-ФЗ(ред. от 23.05.2025)"Об основных гарантиях избирательных прав и права на участие в референдуме граждан Российской Федерации"</dc:title>
  <dc:language>ru-RU</dc:language>
  <cp:lastModifiedBy>bobrova</cp:lastModifiedBy>
  <cp:revision>7</cp:revision>
  <dcterms:created xsi:type="dcterms:W3CDTF">2025-09-05T11:52:00Z</dcterms:created>
  <dcterms:modified xsi:type="dcterms:W3CDTF">2026-04-27T06:40:09Z</dcterms:modified>
</cp:coreProperties>
</file>